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A9228" w14:textId="4A501CF2" w:rsidR="00300E38" w:rsidRPr="00300E38" w:rsidRDefault="00234592" w:rsidP="00300E38">
      <w:pPr>
        <w:spacing w:after="0" w:line="240" w:lineRule="auto"/>
        <w:jc w:val="center"/>
        <w:rPr>
          <w:rFonts w:ascii="Arial" w:hAnsi="Arial" w:cs="Arial"/>
          <w:b/>
          <w:sz w:val="32"/>
          <w:szCs w:val="32"/>
          <w:u w:val="single"/>
        </w:rPr>
      </w:pPr>
      <w:r>
        <w:t xml:space="preserve"> </w:t>
      </w:r>
      <w:r>
        <w:tab/>
      </w:r>
      <w:r w:rsidR="00300E38" w:rsidRPr="00300E38">
        <w:rPr>
          <w:rFonts w:ascii="Arial" w:hAnsi="Arial" w:cs="Arial"/>
          <w:b/>
          <w:sz w:val="32"/>
          <w:szCs w:val="32"/>
          <w:u w:val="single"/>
        </w:rPr>
        <w:t>Historical Legislative Victories</w:t>
      </w:r>
    </w:p>
    <w:p w14:paraId="6EE1900A" w14:textId="5A1F1DAD" w:rsidR="00B9092F" w:rsidRDefault="00B9092F" w:rsidP="00570FF1">
      <w:pPr>
        <w:spacing w:after="0" w:line="240" w:lineRule="auto"/>
        <w:rPr>
          <w:b/>
          <w:sz w:val="28"/>
          <w:szCs w:val="28"/>
          <w:u w:val="single"/>
        </w:rPr>
      </w:pPr>
    </w:p>
    <w:p w14:paraId="44C2CA21" w14:textId="76C2682F" w:rsidR="00D600FE" w:rsidRPr="00820362" w:rsidRDefault="00642D2F" w:rsidP="00804397">
      <w:pPr>
        <w:spacing w:after="0" w:line="240" w:lineRule="auto"/>
        <w:jc w:val="center"/>
        <w:rPr>
          <w:rFonts w:ascii="Arial" w:hAnsi="Arial" w:cs="Arial"/>
          <w:b/>
          <w:sz w:val="28"/>
          <w:szCs w:val="28"/>
          <w:u w:val="single"/>
        </w:rPr>
      </w:pPr>
      <w:r>
        <w:rPr>
          <w:b/>
          <w:noProof/>
          <w:sz w:val="28"/>
          <w:szCs w:val="28"/>
          <w:u w:val="single"/>
        </w:rPr>
        <mc:AlternateContent>
          <mc:Choice Requires="wps">
            <w:drawing>
              <wp:anchor distT="0" distB="0" distL="114300" distR="114300" simplePos="0" relativeHeight="251659264" behindDoc="1" locked="0" layoutInCell="1" allowOverlap="1" wp14:anchorId="638B7467" wp14:editId="7F2E0417">
                <wp:simplePos x="0" y="0"/>
                <wp:positionH relativeFrom="column">
                  <wp:posOffset>-129540</wp:posOffset>
                </wp:positionH>
                <wp:positionV relativeFrom="paragraph">
                  <wp:posOffset>93345</wp:posOffset>
                </wp:positionV>
                <wp:extent cx="6519545" cy="5189220"/>
                <wp:effectExtent l="0" t="0" r="14605" b="11430"/>
                <wp:wrapNone/>
                <wp:docPr id="2" name="Rectangle 2"/>
                <wp:cNvGraphicFramePr/>
                <a:graphic xmlns:a="http://schemas.openxmlformats.org/drawingml/2006/main">
                  <a:graphicData uri="http://schemas.microsoft.com/office/word/2010/wordprocessingShape">
                    <wps:wsp>
                      <wps:cNvSpPr/>
                      <wps:spPr>
                        <a:xfrm>
                          <a:off x="0" y="0"/>
                          <a:ext cx="6519545" cy="5189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5453B" id="Rectangle 2" o:spid="_x0000_s1026" style="position:absolute;margin-left:-10.2pt;margin-top:7.35pt;width:513.35pt;height:40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" filled="f" strokecolor="#243f60 [1604]" strokeweight="2pt"/>
            </w:pict>
          </mc:Fallback>
        </mc:AlternateContent>
      </w:r>
    </w:p>
    <w:p w14:paraId="7FD14008" w14:textId="7EDBDC9B" w:rsidR="00D600FE" w:rsidRPr="00820362" w:rsidRDefault="00D600FE" w:rsidP="00495D1C">
      <w:pPr>
        <w:spacing w:after="0" w:line="240" w:lineRule="auto"/>
        <w:rPr>
          <w:rFonts w:ascii="Arial" w:hAnsi="Arial" w:cs="Arial"/>
          <w:i/>
          <w:sz w:val="24"/>
          <w:szCs w:val="24"/>
        </w:rPr>
      </w:pPr>
      <w:r w:rsidRPr="00820362">
        <w:rPr>
          <w:rFonts w:ascii="Arial" w:hAnsi="Arial" w:cs="Arial"/>
          <w:i/>
          <w:sz w:val="24"/>
          <w:szCs w:val="24"/>
        </w:rPr>
        <w:t>As Iowa and the rest of the world continues to require robust and reliable communications services in virtually every element of their daily lives, the Iowa Communications Alliance</w:t>
      </w:r>
      <w:r w:rsidR="00E653C4" w:rsidRPr="00820362">
        <w:rPr>
          <w:rFonts w:ascii="Arial" w:hAnsi="Arial" w:cs="Arial"/>
          <w:i/>
          <w:sz w:val="24"/>
          <w:szCs w:val="24"/>
        </w:rPr>
        <w:t xml:space="preserve"> and our member companies have</w:t>
      </w:r>
      <w:r w:rsidRPr="00820362">
        <w:rPr>
          <w:rFonts w:ascii="Arial" w:hAnsi="Arial" w:cs="Arial"/>
          <w:i/>
          <w:sz w:val="24"/>
          <w:szCs w:val="24"/>
        </w:rPr>
        <w:t xml:space="preserve"> </w:t>
      </w:r>
      <w:r w:rsidR="00E653C4" w:rsidRPr="00820362">
        <w:rPr>
          <w:rFonts w:ascii="Arial" w:hAnsi="Arial" w:cs="Arial"/>
          <w:i/>
          <w:sz w:val="24"/>
          <w:szCs w:val="24"/>
        </w:rPr>
        <w:t xml:space="preserve">heard their demands. </w:t>
      </w:r>
      <w:r w:rsidR="00570FF1">
        <w:rPr>
          <w:rFonts w:ascii="Arial" w:hAnsi="Arial" w:cs="Arial"/>
          <w:i/>
          <w:sz w:val="24"/>
          <w:szCs w:val="24"/>
        </w:rPr>
        <w:t xml:space="preserve">ICA </w:t>
      </w:r>
      <w:r w:rsidR="00E653C4" w:rsidRPr="00820362">
        <w:rPr>
          <w:rFonts w:ascii="Arial" w:hAnsi="Arial" w:cs="Arial"/>
          <w:i/>
          <w:sz w:val="24"/>
          <w:szCs w:val="24"/>
        </w:rPr>
        <w:t>is</w:t>
      </w:r>
      <w:r w:rsidRPr="00820362">
        <w:rPr>
          <w:rFonts w:ascii="Arial" w:hAnsi="Arial" w:cs="Arial"/>
          <w:i/>
          <w:sz w:val="24"/>
          <w:szCs w:val="24"/>
        </w:rPr>
        <w:t xml:space="preserve"> a leader at the Iowa Capitol advocating for changes to state programs and regulations that impede industry efforts to provide </w:t>
      </w:r>
      <w:r w:rsidR="00E653C4" w:rsidRPr="00820362">
        <w:rPr>
          <w:rFonts w:ascii="Arial" w:hAnsi="Arial" w:cs="Arial"/>
          <w:i/>
          <w:sz w:val="24"/>
          <w:szCs w:val="24"/>
        </w:rPr>
        <w:t xml:space="preserve">the advanced and innovative technologies required by today’s standards. The following is a list of </w:t>
      </w:r>
      <w:r w:rsidR="00570FF1">
        <w:rPr>
          <w:rFonts w:ascii="Arial" w:hAnsi="Arial" w:cs="Arial"/>
          <w:i/>
          <w:sz w:val="24"/>
          <w:szCs w:val="24"/>
        </w:rPr>
        <w:t xml:space="preserve">legislative victories representing </w:t>
      </w:r>
      <w:r w:rsidR="00E653C4" w:rsidRPr="00820362">
        <w:rPr>
          <w:rFonts w:ascii="Arial" w:hAnsi="Arial" w:cs="Arial"/>
          <w:i/>
          <w:sz w:val="24"/>
          <w:szCs w:val="24"/>
        </w:rPr>
        <w:t xml:space="preserve">bills that the </w:t>
      </w:r>
      <w:r w:rsidR="00570FF1">
        <w:rPr>
          <w:rFonts w:ascii="Arial" w:hAnsi="Arial" w:cs="Arial"/>
          <w:i/>
          <w:sz w:val="24"/>
          <w:szCs w:val="24"/>
        </w:rPr>
        <w:t xml:space="preserve">ICA </w:t>
      </w:r>
      <w:r w:rsidR="00E653C4" w:rsidRPr="00820362">
        <w:rPr>
          <w:rFonts w:ascii="Arial" w:hAnsi="Arial" w:cs="Arial"/>
          <w:i/>
          <w:sz w:val="24"/>
          <w:szCs w:val="24"/>
        </w:rPr>
        <w:t xml:space="preserve">generated, engaged </w:t>
      </w:r>
      <w:proofErr w:type="gramStart"/>
      <w:r w:rsidR="00E653C4" w:rsidRPr="00820362">
        <w:rPr>
          <w:rFonts w:ascii="Arial" w:hAnsi="Arial" w:cs="Arial"/>
          <w:i/>
          <w:sz w:val="24"/>
          <w:szCs w:val="24"/>
        </w:rPr>
        <w:t>in</w:t>
      </w:r>
      <w:proofErr w:type="gramEnd"/>
      <w:r w:rsidR="00E653C4" w:rsidRPr="00820362">
        <w:rPr>
          <w:rFonts w:ascii="Arial" w:hAnsi="Arial" w:cs="Arial"/>
          <w:i/>
          <w:sz w:val="24"/>
          <w:szCs w:val="24"/>
        </w:rPr>
        <w:t xml:space="preserve"> or modified on behalf of Iowa’s </w:t>
      </w:r>
      <w:r w:rsidR="00891F41" w:rsidRPr="00820362">
        <w:rPr>
          <w:rFonts w:ascii="Arial" w:hAnsi="Arial" w:cs="Arial"/>
          <w:i/>
          <w:sz w:val="24"/>
          <w:szCs w:val="24"/>
        </w:rPr>
        <w:t>12</w:t>
      </w:r>
      <w:r w:rsidR="00097DB5">
        <w:rPr>
          <w:rFonts w:ascii="Arial" w:hAnsi="Arial" w:cs="Arial"/>
          <w:i/>
          <w:sz w:val="24"/>
          <w:szCs w:val="24"/>
        </w:rPr>
        <w:t>0</w:t>
      </w:r>
      <w:r w:rsidR="00891F41" w:rsidRPr="00820362">
        <w:rPr>
          <w:rFonts w:ascii="Arial" w:hAnsi="Arial" w:cs="Arial"/>
          <w:i/>
          <w:sz w:val="24"/>
          <w:szCs w:val="24"/>
        </w:rPr>
        <w:t xml:space="preserve"> </w:t>
      </w:r>
      <w:r w:rsidR="00E653C4" w:rsidRPr="00820362">
        <w:rPr>
          <w:rFonts w:ascii="Arial" w:hAnsi="Arial" w:cs="Arial"/>
          <w:i/>
          <w:sz w:val="24"/>
          <w:szCs w:val="24"/>
        </w:rPr>
        <w:t xml:space="preserve">rural broadband providers. </w:t>
      </w:r>
    </w:p>
    <w:p w14:paraId="19927044" w14:textId="77777777" w:rsidR="00DB3B2D" w:rsidRPr="00820362" w:rsidRDefault="00DB3B2D" w:rsidP="00495D1C">
      <w:pPr>
        <w:spacing w:after="0" w:line="240" w:lineRule="auto"/>
        <w:rPr>
          <w:rFonts w:ascii="Arial" w:hAnsi="Arial" w:cs="Arial"/>
          <w:i/>
          <w:sz w:val="24"/>
          <w:szCs w:val="24"/>
        </w:rPr>
      </w:pPr>
    </w:p>
    <w:p w14:paraId="420054D5" w14:textId="3D68C3DA" w:rsidR="006D6C8D" w:rsidRDefault="006D6C8D" w:rsidP="00EC04C7">
      <w:pPr>
        <w:spacing w:after="0" w:line="240" w:lineRule="auto"/>
        <w:ind w:left="1440"/>
        <w:rPr>
          <w:rFonts w:ascii="Arial" w:hAnsi="Arial" w:cs="Arial"/>
          <w:szCs w:val="24"/>
        </w:rPr>
      </w:pPr>
      <w:r>
        <w:rPr>
          <w:rFonts w:ascii="Arial" w:hAnsi="Arial" w:cs="Arial"/>
          <w:szCs w:val="24"/>
        </w:rPr>
        <w:t>2020………………………………$5 Million Broadband Grant Funding</w:t>
      </w:r>
    </w:p>
    <w:p w14:paraId="772E4D92" w14:textId="562FA3F6" w:rsidR="006D6C8D" w:rsidRDefault="006D6C8D" w:rsidP="00EC04C7">
      <w:pPr>
        <w:spacing w:after="0" w:line="240" w:lineRule="auto"/>
        <w:ind w:left="1440"/>
        <w:rPr>
          <w:rFonts w:ascii="Arial" w:hAnsi="Arial" w:cs="Arial"/>
          <w:szCs w:val="24"/>
        </w:rPr>
      </w:pPr>
      <w:r>
        <w:rPr>
          <w:rFonts w:ascii="Arial" w:hAnsi="Arial" w:cs="Arial"/>
          <w:szCs w:val="24"/>
        </w:rPr>
        <w:t>2020………………………………Increase State Match for Broadband Grants</w:t>
      </w:r>
    </w:p>
    <w:p w14:paraId="7CB1E583" w14:textId="6A1A3975" w:rsidR="006D6C8D" w:rsidRDefault="006D6C8D" w:rsidP="00EC04C7">
      <w:pPr>
        <w:spacing w:after="0" w:line="240" w:lineRule="auto"/>
        <w:ind w:left="1440"/>
        <w:rPr>
          <w:rFonts w:ascii="Arial" w:hAnsi="Arial" w:cs="Arial"/>
          <w:szCs w:val="24"/>
        </w:rPr>
      </w:pPr>
      <w:r>
        <w:rPr>
          <w:rFonts w:ascii="Arial" w:hAnsi="Arial" w:cs="Arial"/>
          <w:szCs w:val="24"/>
        </w:rPr>
        <w:t>2020………………………………Exempting Broadband Grants from Iowa Taxation</w:t>
      </w:r>
    </w:p>
    <w:p w14:paraId="0D5E481D" w14:textId="12AAEAD9" w:rsidR="00383714" w:rsidRDefault="00383714" w:rsidP="00EC04C7">
      <w:pPr>
        <w:spacing w:after="0" w:line="240" w:lineRule="auto"/>
        <w:ind w:left="1440"/>
        <w:rPr>
          <w:rFonts w:ascii="Arial" w:hAnsi="Arial" w:cs="Arial"/>
          <w:szCs w:val="24"/>
        </w:rPr>
      </w:pPr>
      <w:r>
        <w:rPr>
          <w:rFonts w:ascii="Arial" w:hAnsi="Arial" w:cs="Arial"/>
          <w:szCs w:val="24"/>
        </w:rPr>
        <w:t>2019………………………………$5 Million Broadband Grant Funding</w:t>
      </w:r>
    </w:p>
    <w:p w14:paraId="03E89876" w14:textId="614ACB18" w:rsidR="00383714" w:rsidRDefault="00383714" w:rsidP="00EC04C7">
      <w:pPr>
        <w:spacing w:after="0" w:line="240" w:lineRule="auto"/>
        <w:ind w:left="1440"/>
        <w:rPr>
          <w:rFonts w:ascii="Arial" w:hAnsi="Arial" w:cs="Arial"/>
          <w:szCs w:val="24"/>
        </w:rPr>
      </w:pPr>
      <w:r>
        <w:rPr>
          <w:rFonts w:ascii="Arial" w:hAnsi="Arial" w:cs="Arial"/>
          <w:szCs w:val="24"/>
        </w:rPr>
        <w:t>2019………………………………Broadband Grant Program Improvements</w:t>
      </w:r>
    </w:p>
    <w:p w14:paraId="373C5BD5" w14:textId="1DBD5813" w:rsidR="00383714" w:rsidRDefault="00383714" w:rsidP="00EC04C7">
      <w:pPr>
        <w:spacing w:after="0" w:line="240" w:lineRule="auto"/>
        <w:ind w:left="1440"/>
        <w:rPr>
          <w:rFonts w:ascii="Arial" w:hAnsi="Arial" w:cs="Arial"/>
          <w:szCs w:val="24"/>
        </w:rPr>
      </w:pPr>
      <w:r>
        <w:rPr>
          <w:rFonts w:ascii="Arial" w:hAnsi="Arial" w:cs="Arial"/>
          <w:szCs w:val="24"/>
        </w:rPr>
        <w:t>2019………………………………Municipal Right of Way Fee Limitations</w:t>
      </w:r>
    </w:p>
    <w:p w14:paraId="608469A6" w14:textId="0D2A9FAD" w:rsidR="00186D76" w:rsidRDefault="00186D76" w:rsidP="00EC04C7">
      <w:pPr>
        <w:spacing w:after="0" w:line="240" w:lineRule="auto"/>
        <w:ind w:left="1440"/>
        <w:rPr>
          <w:rFonts w:ascii="Arial" w:hAnsi="Arial" w:cs="Arial"/>
          <w:szCs w:val="24"/>
        </w:rPr>
      </w:pPr>
      <w:r>
        <w:rPr>
          <w:rFonts w:ascii="Arial" w:hAnsi="Arial" w:cs="Arial"/>
          <w:szCs w:val="24"/>
        </w:rPr>
        <w:t>2018………………………………Local Exchange Carrier Deregulation</w:t>
      </w:r>
    </w:p>
    <w:p w14:paraId="67FB624B" w14:textId="6BEB9CDC" w:rsidR="00186D76" w:rsidRDefault="00186D76" w:rsidP="00EC04C7">
      <w:pPr>
        <w:spacing w:after="0" w:line="240" w:lineRule="auto"/>
        <w:ind w:left="1440"/>
        <w:rPr>
          <w:rFonts w:ascii="Arial" w:hAnsi="Arial" w:cs="Arial"/>
          <w:szCs w:val="24"/>
        </w:rPr>
      </w:pPr>
      <w:r>
        <w:rPr>
          <w:rFonts w:ascii="Arial" w:hAnsi="Arial" w:cs="Arial"/>
          <w:szCs w:val="24"/>
        </w:rPr>
        <w:t>2018………………………………Communications Property Tax Reform</w:t>
      </w:r>
    </w:p>
    <w:p w14:paraId="48ED81CF" w14:textId="6A116201" w:rsidR="00186D76" w:rsidRDefault="00186D76" w:rsidP="00EC04C7">
      <w:pPr>
        <w:spacing w:after="0" w:line="240" w:lineRule="auto"/>
        <w:ind w:left="1440"/>
        <w:rPr>
          <w:rFonts w:ascii="Arial" w:hAnsi="Arial" w:cs="Arial"/>
          <w:szCs w:val="24"/>
        </w:rPr>
      </w:pPr>
      <w:r>
        <w:rPr>
          <w:rFonts w:ascii="Arial" w:hAnsi="Arial" w:cs="Arial"/>
          <w:szCs w:val="24"/>
        </w:rPr>
        <w:t>2016………………………………Rural Healthcare Through Telepharmacy</w:t>
      </w:r>
    </w:p>
    <w:p w14:paraId="37E99F39" w14:textId="37E16ECF" w:rsidR="00186D76" w:rsidRDefault="00186D76" w:rsidP="00EC04C7">
      <w:pPr>
        <w:spacing w:after="0" w:line="240" w:lineRule="auto"/>
        <w:ind w:left="1440"/>
        <w:rPr>
          <w:rFonts w:ascii="Arial" w:hAnsi="Arial" w:cs="Arial"/>
          <w:szCs w:val="24"/>
        </w:rPr>
      </w:pPr>
      <w:r>
        <w:rPr>
          <w:rFonts w:ascii="Arial" w:hAnsi="Arial" w:cs="Arial"/>
          <w:szCs w:val="24"/>
        </w:rPr>
        <w:t>2015………………………………Broadband Expansion Tax Exemption</w:t>
      </w:r>
    </w:p>
    <w:p w14:paraId="5E64CFCB" w14:textId="41A0353C" w:rsidR="00186D76" w:rsidRDefault="00186D76" w:rsidP="00EC04C7">
      <w:pPr>
        <w:spacing w:after="0" w:line="240" w:lineRule="auto"/>
        <w:ind w:left="1440"/>
        <w:rPr>
          <w:rFonts w:ascii="Arial" w:hAnsi="Arial" w:cs="Arial"/>
          <w:szCs w:val="24"/>
        </w:rPr>
      </w:pPr>
      <w:r>
        <w:rPr>
          <w:rFonts w:ascii="Arial" w:hAnsi="Arial" w:cs="Arial"/>
          <w:szCs w:val="24"/>
        </w:rPr>
        <w:t>2013………………………………Telecommunications Property Tax Reform</w:t>
      </w:r>
    </w:p>
    <w:p w14:paraId="3A270F46" w14:textId="1680D86E" w:rsidR="00790112" w:rsidRDefault="00790112" w:rsidP="00EC04C7">
      <w:pPr>
        <w:spacing w:after="0" w:line="240" w:lineRule="auto"/>
        <w:ind w:left="1440"/>
        <w:rPr>
          <w:rFonts w:ascii="Arial" w:hAnsi="Arial" w:cs="Arial"/>
          <w:szCs w:val="24"/>
        </w:rPr>
      </w:pPr>
      <w:r>
        <w:rPr>
          <w:rFonts w:ascii="Arial" w:hAnsi="Arial" w:cs="Arial"/>
          <w:szCs w:val="24"/>
        </w:rPr>
        <w:t>2012………………………………E911 Modernization</w:t>
      </w:r>
    </w:p>
    <w:p w14:paraId="67FBA1AA" w14:textId="0B30AC83" w:rsidR="00790112" w:rsidRDefault="00790112" w:rsidP="00EC04C7">
      <w:pPr>
        <w:spacing w:after="0" w:line="240" w:lineRule="auto"/>
        <w:ind w:left="1440"/>
        <w:rPr>
          <w:rFonts w:ascii="Arial" w:hAnsi="Arial" w:cs="Arial"/>
          <w:szCs w:val="24"/>
        </w:rPr>
      </w:pPr>
      <w:r>
        <w:rPr>
          <w:rFonts w:ascii="Arial" w:hAnsi="Arial" w:cs="Arial"/>
          <w:szCs w:val="24"/>
        </w:rPr>
        <w:t>2011………………………………National Broadband Plan Resolution</w:t>
      </w:r>
    </w:p>
    <w:p w14:paraId="6556D1E3" w14:textId="6C001221" w:rsidR="00790112" w:rsidRDefault="00790112" w:rsidP="00EC04C7">
      <w:pPr>
        <w:spacing w:after="0" w:line="240" w:lineRule="auto"/>
        <w:ind w:left="1440"/>
        <w:rPr>
          <w:rFonts w:ascii="Arial" w:hAnsi="Arial" w:cs="Arial"/>
          <w:szCs w:val="24"/>
        </w:rPr>
      </w:pPr>
      <w:r>
        <w:rPr>
          <w:rFonts w:ascii="Arial" w:hAnsi="Arial" w:cs="Arial"/>
          <w:szCs w:val="24"/>
        </w:rPr>
        <w:t>2007………………………………Video Franchise Modernization</w:t>
      </w:r>
    </w:p>
    <w:p w14:paraId="59C46350" w14:textId="321F0120" w:rsidR="00790112" w:rsidRDefault="00790112" w:rsidP="00EC04C7">
      <w:pPr>
        <w:spacing w:after="0" w:line="240" w:lineRule="auto"/>
        <w:ind w:left="1440"/>
        <w:rPr>
          <w:rFonts w:ascii="Arial" w:hAnsi="Arial" w:cs="Arial"/>
          <w:szCs w:val="24"/>
        </w:rPr>
      </w:pPr>
      <w:r w:rsidRPr="00790112">
        <w:rPr>
          <w:rFonts w:ascii="Arial" w:hAnsi="Arial" w:cs="Arial"/>
          <w:szCs w:val="24"/>
        </w:rPr>
        <w:t>2006………………………………M &amp; E Sales Tax Exe</w:t>
      </w:r>
      <w:r>
        <w:rPr>
          <w:rFonts w:ascii="Arial" w:hAnsi="Arial" w:cs="Arial"/>
          <w:szCs w:val="24"/>
        </w:rPr>
        <w:t>mption for Telecom Equipment</w:t>
      </w:r>
    </w:p>
    <w:p w14:paraId="6A7AEEC1" w14:textId="3F959DAD" w:rsidR="00790112" w:rsidRDefault="00790112" w:rsidP="00EC04C7">
      <w:pPr>
        <w:spacing w:after="0" w:line="240" w:lineRule="auto"/>
        <w:ind w:left="1440"/>
        <w:rPr>
          <w:rFonts w:ascii="Arial" w:hAnsi="Arial" w:cs="Arial"/>
          <w:szCs w:val="24"/>
        </w:rPr>
      </w:pPr>
      <w:r>
        <w:rPr>
          <w:rFonts w:ascii="Arial" w:hAnsi="Arial" w:cs="Arial"/>
          <w:szCs w:val="24"/>
        </w:rPr>
        <w:t>2005………………………………Retail Service Deregulation</w:t>
      </w:r>
    </w:p>
    <w:p w14:paraId="69CEC9B1" w14:textId="00DFC526" w:rsidR="00790112" w:rsidRDefault="00790112" w:rsidP="00EC04C7">
      <w:pPr>
        <w:spacing w:after="0" w:line="240" w:lineRule="auto"/>
        <w:ind w:left="1440"/>
        <w:rPr>
          <w:rFonts w:ascii="Arial" w:hAnsi="Arial" w:cs="Arial"/>
          <w:szCs w:val="24"/>
        </w:rPr>
      </w:pPr>
      <w:r>
        <w:rPr>
          <w:rFonts w:ascii="Arial" w:hAnsi="Arial" w:cs="Arial"/>
          <w:szCs w:val="24"/>
        </w:rPr>
        <w:t>2005………………………………Dual Party Relay</w:t>
      </w:r>
    </w:p>
    <w:p w14:paraId="239AFA41" w14:textId="58978231" w:rsidR="00790112" w:rsidRDefault="00790112" w:rsidP="00EC04C7">
      <w:pPr>
        <w:spacing w:after="0" w:line="240" w:lineRule="auto"/>
        <w:ind w:left="1440"/>
        <w:rPr>
          <w:rFonts w:ascii="Arial" w:hAnsi="Arial" w:cs="Arial"/>
          <w:szCs w:val="24"/>
        </w:rPr>
      </w:pPr>
      <w:r>
        <w:rPr>
          <w:rFonts w:ascii="Arial" w:hAnsi="Arial" w:cs="Arial"/>
          <w:szCs w:val="24"/>
        </w:rPr>
        <w:t>2004………………………………Increased Wireless E911 Surcharge</w:t>
      </w:r>
    </w:p>
    <w:p w14:paraId="476A67BE" w14:textId="49A57E45" w:rsidR="00790112" w:rsidRDefault="00790112" w:rsidP="00EC04C7">
      <w:pPr>
        <w:spacing w:after="0" w:line="240" w:lineRule="auto"/>
        <w:ind w:left="1440"/>
        <w:rPr>
          <w:rFonts w:ascii="Arial" w:hAnsi="Arial" w:cs="Arial"/>
          <w:szCs w:val="24"/>
        </w:rPr>
      </w:pPr>
      <w:r>
        <w:rPr>
          <w:rFonts w:ascii="Arial" w:hAnsi="Arial" w:cs="Arial"/>
          <w:szCs w:val="24"/>
        </w:rPr>
        <w:t>2004………………………………Municipal Telecom Regulation Establishment</w:t>
      </w:r>
    </w:p>
    <w:p w14:paraId="6CEA018B" w14:textId="1424ACF0" w:rsidR="00790112" w:rsidRDefault="00790112" w:rsidP="00EC04C7">
      <w:pPr>
        <w:spacing w:after="0" w:line="240" w:lineRule="auto"/>
        <w:ind w:left="1440"/>
        <w:rPr>
          <w:rFonts w:ascii="Arial" w:hAnsi="Arial" w:cs="Arial"/>
          <w:szCs w:val="24"/>
        </w:rPr>
      </w:pPr>
      <w:r>
        <w:rPr>
          <w:rFonts w:ascii="Arial" w:hAnsi="Arial" w:cs="Arial"/>
          <w:szCs w:val="24"/>
        </w:rPr>
        <w:t>2003………………………………Authority to Sell Iowa Communications Network</w:t>
      </w:r>
    </w:p>
    <w:p w14:paraId="5E0B3AD1" w14:textId="337C704D" w:rsidR="00790112" w:rsidRDefault="00790112" w:rsidP="00EC04C7">
      <w:pPr>
        <w:spacing w:after="0" w:line="240" w:lineRule="auto"/>
        <w:ind w:left="1440"/>
        <w:rPr>
          <w:rFonts w:ascii="Arial" w:hAnsi="Arial" w:cs="Arial"/>
          <w:szCs w:val="24"/>
        </w:rPr>
      </w:pPr>
      <w:r>
        <w:rPr>
          <w:rFonts w:ascii="Arial" w:hAnsi="Arial" w:cs="Arial"/>
          <w:szCs w:val="24"/>
        </w:rPr>
        <w:t>2003………………………………Broadband Deployment Authority</w:t>
      </w:r>
    </w:p>
    <w:p w14:paraId="47ED12D6" w14:textId="0C278D39" w:rsidR="00790112" w:rsidRPr="00790112" w:rsidRDefault="00790112" w:rsidP="00EC04C7">
      <w:pPr>
        <w:spacing w:after="0" w:line="240" w:lineRule="auto"/>
        <w:ind w:left="1440"/>
        <w:rPr>
          <w:rFonts w:ascii="Arial" w:hAnsi="Arial" w:cs="Arial"/>
          <w:szCs w:val="24"/>
        </w:rPr>
      </w:pPr>
      <w:r>
        <w:rPr>
          <w:rFonts w:ascii="Arial" w:hAnsi="Arial" w:cs="Arial"/>
          <w:szCs w:val="24"/>
        </w:rPr>
        <w:t>2002………………………………Railroad Right-of-Way Modernization</w:t>
      </w:r>
    </w:p>
    <w:p w14:paraId="4984C304" w14:textId="618B00D2" w:rsidR="00DB3B2D" w:rsidRPr="00820362" w:rsidRDefault="00DB3B2D" w:rsidP="00790112">
      <w:pPr>
        <w:spacing w:after="0" w:line="240" w:lineRule="auto"/>
        <w:rPr>
          <w:rFonts w:ascii="Arial" w:hAnsi="Arial" w:cs="Arial"/>
          <w:szCs w:val="24"/>
        </w:rPr>
      </w:pPr>
    </w:p>
    <w:p w14:paraId="0BD4AB91" w14:textId="671F368B" w:rsidR="00DB3B2D" w:rsidRPr="00820362" w:rsidRDefault="00DB3B2D" w:rsidP="00EC04C7">
      <w:pPr>
        <w:spacing w:after="0" w:line="240" w:lineRule="auto"/>
        <w:ind w:left="720" w:firstLine="720"/>
        <w:rPr>
          <w:rFonts w:ascii="Arial" w:hAnsi="Arial" w:cs="Arial"/>
          <w:szCs w:val="24"/>
        </w:rPr>
      </w:pPr>
    </w:p>
    <w:p w14:paraId="2F708B23" w14:textId="77777777" w:rsidR="006D6C8D" w:rsidRDefault="006D6C8D">
      <w:pPr>
        <w:rPr>
          <w:rFonts w:ascii="Arial" w:hAnsi="Arial" w:cs="Arial"/>
          <w:b/>
          <w:sz w:val="28"/>
          <w:szCs w:val="28"/>
        </w:rPr>
      </w:pPr>
      <w:r>
        <w:rPr>
          <w:rFonts w:ascii="Arial" w:hAnsi="Arial" w:cs="Arial"/>
          <w:b/>
          <w:sz w:val="28"/>
          <w:szCs w:val="28"/>
        </w:rPr>
        <w:br w:type="page"/>
      </w:r>
    </w:p>
    <w:p w14:paraId="5F5561FB" w14:textId="151DB334" w:rsidR="0096444F" w:rsidRPr="005850C1" w:rsidRDefault="0096444F" w:rsidP="0096444F">
      <w:pPr>
        <w:spacing w:after="0" w:line="240" w:lineRule="auto"/>
        <w:jc w:val="center"/>
        <w:rPr>
          <w:rFonts w:ascii="Arial" w:hAnsi="Arial" w:cs="Arial"/>
          <w:b/>
          <w:sz w:val="28"/>
          <w:szCs w:val="28"/>
        </w:rPr>
      </w:pPr>
      <w:r w:rsidRPr="005850C1">
        <w:rPr>
          <w:rFonts w:ascii="Arial" w:hAnsi="Arial" w:cs="Arial"/>
          <w:b/>
          <w:sz w:val="28"/>
          <w:szCs w:val="28"/>
        </w:rPr>
        <w:lastRenderedPageBreak/>
        <w:t xml:space="preserve">Details on ICA-Sponsored or Promoted Bills </w:t>
      </w:r>
    </w:p>
    <w:p w14:paraId="699CB4EB" w14:textId="6A78202F" w:rsidR="0096444F" w:rsidRPr="005850C1" w:rsidRDefault="0096444F" w:rsidP="0096444F">
      <w:pPr>
        <w:spacing w:after="0" w:line="240" w:lineRule="auto"/>
        <w:jc w:val="center"/>
        <w:rPr>
          <w:rFonts w:ascii="Arial" w:hAnsi="Arial" w:cs="Arial"/>
          <w:b/>
          <w:sz w:val="28"/>
          <w:szCs w:val="28"/>
        </w:rPr>
      </w:pPr>
      <w:r w:rsidRPr="005850C1">
        <w:rPr>
          <w:rFonts w:ascii="Arial" w:hAnsi="Arial" w:cs="Arial"/>
          <w:b/>
          <w:sz w:val="28"/>
          <w:szCs w:val="28"/>
        </w:rPr>
        <w:t xml:space="preserve">Enacted into Law </w:t>
      </w:r>
      <w:r w:rsidR="005850C1" w:rsidRPr="005850C1">
        <w:rPr>
          <w:rFonts w:ascii="Arial" w:hAnsi="Arial" w:cs="Arial"/>
          <w:b/>
          <w:sz w:val="28"/>
          <w:szCs w:val="28"/>
        </w:rPr>
        <w:t xml:space="preserve">from </w:t>
      </w:r>
      <w:r w:rsidRPr="005850C1">
        <w:rPr>
          <w:rFonts w:ascii="Arial" w:hAnsi="Arial" w:cs="Arial"/>
          <w:b/>
          <w:sz w:val="28"/>
          <w:szCs w:val="28"/>
        </w:rPr>
        <w:t>200</w:t>
      </w:r>
      <w:r w:rsidR="0084706B">
        <w:rPr>
          <w:rFonts w:ascii="Arial" w:hAnsi="Arial" w:cs="Arial"/>
          <w:b/>
          <w:sz w:val="28"/>
          <w:szCs w:val="28"/>
        </w:rPr>
        <w:t>2</w:t>
      </w:r>
      <w:r w:rsidRPr="005850C1">
        <w:rPr>
          <w:rFonts w:ascii="Arial" w:hAnsi="Arial" w:cs="Arial"/>
          <w:b/>
          <w:sz w:val="28"/>
          <w:szCs w:val="28"/>
        </w:rPr>
        <w:t xml:space="preserve"> </w:t>
      </w:r>
      <w:r w:rsidR="005850C1" w:rsidRPr="005850C1">
        <w:rPr>
          <w:rFonts w:ascii="Arial" w:hAnsi="Arial" w:cs="Arial"/>
          <w:b/>
          <w:sz w:val="28"/>
          <w:szCs w:val="28"/>
        </w:rPr>
        <w:t xml:space="preserve">to </w:t>
      </w:r>
      <w:r w:rsidRPr="005850C1">
        <w:rPr>
          <w:rFonts w:ascii="Arial" w:hAnsi="Arial" w:cs="Arial"/>
          <w:b/>
          <w:sz w:val="28"/>
          <w:szCs w:val="28"/>
        </w:rPr>
        <w:t xml:space="preserve">2019 </w:t>
      </w:r>
    </w:p>
    <w:p w14:paraId="3BD59A4D" w14:textId="77777777" w:rsidR="0096444F" w:rsidRPr="0096444F" w:rsidRDefault="0096444F" w:rsidP="0096444F">
      <w:pPr>
        <w:spacing w:after="0" w:line="240" w:lineRule="auto"/>
        <w:jc w:val="center"/>
        <w:rPr>
          <w:rFonts w:ascii="Arial" w:hAnsi="Arial" w:cs="Arial"/>
          <w:b/>
          <w:u w:val="single"/>
        </w:rPr>
      </w:pPr>
    </w:p>
    <w:p w14:paraId="2E3A0F02" w14:textId="48C75A67" w:rsidR="006D6C8D" w:rsidRDefault="006D6C8D" w:rsidP="0096444F">
      <w:pPr>
        <w:spacing w:after="0" w:line="240" w:lineRule="auto"/>
        <w:jc w:val="center"/>
        <w:rPr>
          <w:rFonts w:ascii="Arial" w:hAnsi="Arial" w:cs="Arial"/>
          <w:b/>
          <w:u w:val="single"/>
        </w:rPr>
      </w:pPr>
      <w:r>
        <w:rPr>
          <w:rFonts w:ascii="Arial" w:hAnsi="Arial" w:cs="Arial"/>
          <w:b/>
          <w:u w:val="single"/>
        </w:rPr>
        <w:t>2020</w:t>
      </w:r>
    </w:p>
    <w:p w14:paraId="22E3FF28" w14:textId="1FC05DED" w:rsidR="006D6C8D" w:rsidRDefault="006D6C8D" w:rsidP="0096444F">
      <w:pPr>
        <w:spacing w:after="0" w:line="240" w:lineRule="auto"/>
        <w:jc w:val="center"/>
        <w:rPr>
          <w:rFonts w:ascii="Arial" w:hAnsi="Arial" w:cs="Arial"/>
          <w:b/>
          <w:u w:val="single"/>
        </w:rPr>
      </w:pPr>
    </w:p>
    <w:p w14:paraId="63C77357" w14:textId="6E440CA4" w:rsidR="006D6C8D" w:rsidRDefault="006D6C8D" w:rsidP="006D6C8D">
      <w:pPr>
        <w:spacing w:after="0" w:line="240" w:lineRule="auto"/>
        <w:rPr>
          <w:rFonts w:ascii="Arial" w:eastAsia="Times New Roman" w:hAnsi="Arial" w:cs="Arial"/>
        </w:rPr>
      </w:pPr>
      <w:hyperlink r:id="rId8" w:history="1">
        <w:r w:rsidRPr="006D6C8D">
          <w:rPr>
            <w:rFonts w:ascii="Arial" w:eastAsia="Times New Roman" w:hAnsi="Arial" w:cs="Arial"/>
            <w:color w:val="0563C1"/>
            <w:u w:val="single"/>
          </w:rPr>
          <w:t>SF 2400</w:t>
        </w:r>
      </w:hyperlink>
      <w:r w:rsidRPr="006D6C8D">
        <w:rPr>
          <w:rFonts w:ascii="Arial" w:eastAsia="Times New Roman" w:hAnsi="Arial" w:cs="Arial"/>
          <w:color w:val="0563C1"/>
          <w:u w:val="single"/>
        </w:rPr>
        <w:t xml:space="preserve"> </w:t>
      </w:r>
      <w:r w:rsidRPr="006D6C8D">
        <w:rPr>
          <w:rFonts w:ascii="Arial" w:eastAsia="Times New Roman" w:hAnsi="Arial" w:cs="Arial"/>
        </w:rPr>
        <w:t xml:space="preserve">– </w:t>
      </w:r>
      <w:r w:rsidRPr="006D6C8D">
        <w:rPr>
          <w:rFonts w:ascii="Arial" w:eastAsia="Times New Roman" w:hAnsi="Arial" w:cs="Arial"/>
          <w:b/>
          <w:bCs/>
        </w:rPr>
        <w:t>Empower Rural Iowa</w:t>
      </w:r>
      <w:r w:rsidRPr="006D6C8D">
        <w:rPr>
          <w:rFonts w:ascii="Arial" w:eastAsia="Times New Roman" w:hAnsi="Arial" w:cs="Arial"/>
        </w:rPr>
        <w:t xml:space="preserve">. </w:t>
      </w:r>
      <w:r>
        <w:rPr>
          <w:rFonts w:ascii="Arial" w:eastAsia="Times New Roman" w:hAnsi="Arial" w:cs="Arial"/>
        </w:rPr>
        <w:t>I</w:t>
      </w:r>
      <w:r w:rsidRPr="006D6C8D">
        <w:rPr>
          <w:rFonts w:ascii="Arial" w:eastAsia="Times New Roman" w:hAnsi="Arial" w:cs="Arial"/>
        </w:rPr>
        <w:t>ncreases state match to 35%.  Splits funding between applications for 100/20+ buildouts and 25/3+ buildouts.  Favors applicants who seek less than the maximum state match, allows OCIO to determine TSAs based on geographic areas other than census blocks, removes wireless and satellite service from determining TSAs, allows funding to OCIO to administer grant program and conduct mapping</w:t>
      </w:r>
      <w:r>
        <w:rPr>
          <w:rFonts w:ascii="Arial" w:eastAsia="Times New Roman" w:hAnsi="Arial" w:cs="Arial"/>
        </w:rPr>
        <w:t>.</w:t>
      </w:r>
    </w:p>
    <w:p w14:paraId="43A5CED0" w14:textId="77777777" w:rsidR="006D6C8D" w:rsidRDefault="006D6C8D" w:rsidP="006D6C8D">
      <w:pPr>
        <w:spacing w:after="0" w:line="240" w:lineRule="auto"/>
        <w:rPr>
          <w:rFonts w:ascii="Arial" w:eastAsia="Times New Roman" w:hAnsi="Arial" w:cs="Arial"/>
        </w:rPr>
      </w:pPr>
    </w:p>
    <w:p w14:paraId="4B0A5E6B" w14:textId="4482F028" w:rsidR="006D6C8D" w:rsidRPr="006D6C8D" w:rsidRDefault="006D6C8D" w:rsidP="006D6C8D">
      <w:pPr>
        <w:spacing w:after="0" w:line="240" w:lineRule="auto"/>
        <w:rPr>
          <w:rFonts w:ascii="Arial" w:eastAsia="Times New Roman" w:hAnsi="Arial" w:cs="Arial"/>
        </w:rPr>
      </w:pPr>
      <w:hyperlink r:id="rId9" w:history="1">
        <w:r w:rsidRPr="006D6C8D">
          <w:rPr>
            <w:rFonts w:ascii="Arial" w:eastAsia="Times New Roman" w:hAnsi="Arial" w:cs="Arial"/>
            <w:color w:val="0563C1"/>
            <w:u w:val="single"/>
          </w:rPr>
          <w:t>HF 2641</w:t>
        </w:r>
      </w:hyperlink>
      <w:r w:rsidRPr="006D6C8D">
        <w:rPr>
          <w:rFonts w:ascii="Arial" w:eastAsia="Times New Roman" w:hAnsi="Arial" w:cs="Arial"/>
          <w:color w:val="0563C1"/>
          <w:u w:val="single"/>
        </w:rPr>
        <w:t xml:space="preserve"> </w:t>
      </w:r>
      <w:r w:rsidRPr="006D6C8D">
        <w:rPr>
          <w:rFonts w:ascii="Arial" w:eastAsia="Times New Roman" w:hAnsi="Arial" w:cs="Arial"/>
        </w:rPr>
        <w:t xml:space="preserve">-- </w:t>
      </w:r>
      <w:r w:rsidRPr="006D6C8D">
        <w:rPr>
          <w:rFonts w:ascii="Arial" w:eastAsia="Times New Roman" w:hAnsi="Arial" w:cs="Arial"/>
          <w:b/>
          <w:bCs/>
        </w:rPr>
        <w:t>Broadband Grants and State Tax Exemption</w:t>
      </w:r>
      <w:r w:rsidRPr="006D6C8D">
        <w:rPr>
          <w:rFonts w:ascii="Arial" w:eastAsia="Times New Roman" w:hAnsi="Arial" w:cs="Arial"/>
        </w:rPr>
        <w:t>.</w:t>
      </w:r>
      <w:r w:rsidRPr="006D6C8D">
        <w:rPr>
          <w:rFonts w:ascii="Arial" w:eastAsia="Times New Roman" w:hAnsi="Arial" w:cs="Arial"/>
        </w:rPr>
        <w:t xml:space="preserve"> E</w:t>
      </w:r>
      <w:r w:rsidRPr="006D6C8D">
        <w:rPr>
          <w:rFonts w:ascii="Arial" w:eastAsia="Times New Roman" w:hAnsi="Arial" w:cs="Arial"/>
        </w:rPr>
        <w:t>xempting federal, state, and local broadband grant receipts from state taxation.</w:t>
      </w:r>
    </w:p>
    <w:p w14:paraId="351E94D3" w14:textId="77777777" w:rsidR="006D6C8D" w:rsidRPr="006D6C8D" w:rsidRDefault="006D6C8D" w:rsidP="006D6C8D">
      <w:pPr>
        <w:spacing w:after="0" w:line="240" w:lineRule="auto"/>
        <w:rPr>
          <w:rFonts w:ascii="Arial" w:eastAsia="Times New Roman" w:hAnsi="Arial" w:cs="Arial"/>
        </w:rPr>
      </w:pPr>
    </w:p>
    <w:p w14:paraId="6877BCC4" w14:textId="77777777" w:rsidR="006D6C8D" w:rsidRDefault="006D6C8D" w:rsidP="006D6C8D">
      <w:pPr>
        <w:spacing w:after="0" w:line="240" w:lineRule="auto"/>
        <w:rPr>
          <w:rFonts w:ascii="Arial" w:hAnsi="Arial" w:cs="Arial"/>
          <w:b/>
          <w:u w:val="single"/>
        </w:rPr>
      </w:pPr>
    </w:p>
    <w:p w14:paraId="0C8D4A47" w14:textId="235FD34E"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2019</w:t>
      </w:r>
    </w:p>
    <w:p w14:paraId="23673227" w14:textId="77777777" w:rsidR="0096444F" w:rsidRPr="0096444F" w:rsidRDefault="0096444F" w:rsidP="0096444F">
      <w:pPr>
        <w:spacing w:after="0" w:line="240" w:lineRule="auto"/>
        <w:jc w:val="center"/>
        <w:rPr>
          <w:rFonts w:ascii="Arial" w:hAnsi="Arial" w:cs="Arial"/>
          <w:b/>
          <w:u w:val="single"/>
        </w:rPr>
      </w:pPr>
    </w:p>
    <w:p w14:paraId="48FBCA06" w14:textId="77777777" w:rsidR="0096444F" w:rsidRPr="0096444F" w:rsidRDefault="00DF497D" w:rsidP="0096444F">
      <w:pPr>
        <w:spacing w:after="0" w:line="240" w:lineRule="auto"/>
        <w:rPr>
          <w:rFonts w:ascii="Arial" w:hAnsi="Arial" w:cs="Arial"/>
          <w:bCs/>
        </w:rPr>
      </w:pPr>
      <w:hyperlink r:id="rId10" w:history="1">
        <w:r w:rsidR="0096444F" w:rsidRPr="0096444F">
          <w:rPr>
            <w:rStyle w:val="Hyperlink"/>
            <w:rFonts w:ascii="Arial" w:hAnsi="Arial" w:cs="Arial"/>
            <w:b/>
          </w:rPr>
          <w:t>HF 772</w:t>
        </w:r>
      </w:hyperlink>
      <w:r w:rsidR="0096444F" w:rsidRPr="0096444F">
        <w:rPr>
          <w:rFonts w:ascii="Arial" w:hAnsi="Arial" w:cs="Arial"/>
          <w:bCs/>
        </w:rPr>
        <w:t xml:space="preserve"> -- </w:t>
      </w:r>
      <w:r w:rsidR="0096444F" w:rsidRPr="0096444F">
        <w:rPr>
          <w:rFonts w:ascii="Arial" w:hAnsi="Arial" w:cs="Arial"/>
          <w:b/>
        </w:rPr>
        <w:t>Empower Rural Iowa/Broadband Grant Program</w:t>
      </w:r>
      <w:r w:rsidR="0096444F" w:rsidRPr="0096444F">
        <w:rPr>
          <w:rFonts w:ascii="Arial" w:hAnsi="Arial" w:cs="Arial"/>
          <w:bCs/>
        </w:rPr>
        <w:t>.  Improves the broadband grant program to target funding to areas that do not have 25/3 service, creates a validation process to the maps and for applications, and requires OCIO to use updated maps.  Also modifies the scoring mechanism.  Extends the term of the Broadband Grant Program to 2025 and replaces the statutory reference to 25/3 with the federal definition, allowing the OCIO to raise the speed requirement for future buildouts. Also extends the property tax program until 2027 and expands the rural housing tax credit program.</w:t>
      </w:r>
    </w:p>
    <w:p w14:paraId="7E82296F" w14:textId="77777777" w:rsidR="0096444F" w:rsidRPr="0096444F" w:rsidRDefault="0096444F" w:rsidP="0096444F">
      <w:pPr>
        <w:spacing w:after="0" w:line="240" w:lineRule="auto"/>
        <w:rPr>
          <w:rFonts w:ascii="Arial" w:hAnsi="Arial" w:cs="Arial"/>
          <w:bCs/>
        </w:rPr>
      </w:pPr>
    </w:p>
    <w:p w14:paraId="627C7EAF" w14:textId="77777777" w:rsidR="0096444F" w:rsidRPr="0096444F" w:rsidRDefault="00DF497D" w:rsidP="0096444F">
      <w:pPr>
        <w:spacing w:after="0" w:line="240" w:lineRule="auto"/>
        <w:rPr>
          <w:rFonts w:ascii="Arial" w:hAnsi="Arial" w:cs="Arial"/>
          <w:bCs/>
        </w:rPr>
      </w:pPr>
      <w:hyperlink r:id="rId11" w:history="1">
        <w:r w:rsidR="0096444F" w:rsidRPr="0096444F">
          <w:rPr>
            <w:rStyle w:val="Hyperlink"/>
            <w:rFonts w:ascii="Arial" w:hAnsi="Arial" w:cs="Arial"/>
            <w:b/>
          </w:rPr>
          <w:t>HF 759</w:t>
        </w:r>
      </w:hyperlink>
      <w:r w:rsidR="0096444F" w:rsidRPr="0096444F">
        <w:rPr>
          <w:rFonts w:ascii="Arial" w:hAnsi="Arial" w:cs="Arial"/>
          <w:b/>
        </w:rPr>
        <w:t xml:space="preserve"> </w:t>
      </w:r>
      <w:r w:rsidR="0096444F" w:rsidRPr="0096444F">
        <w:rPr>
          <w:rFonts w:ascii="Arial" w:hAnsi="Arial" w:cs="Arial"/>
          <w:bCs/>
        </w:rPr>
        <w:t xml:space="preserve">-- </w:t>
      </w:r>
      <w:r w:rsidR="0096444F" w:rsidRPr="0096444F">
        <w:rPr>
          <w:rFonts w:ascii="Arial" w:hAnsi="Arial" w:cs="Arial"/>
          <w:b/>
        </w:rPr>
        <w:t>Broadband Grant Funding</w:t>
      </w:r>
      <w:r w:rsidR="0096444F" w:rsidRPr="0096444F">
        <w:rPr>
          <w:rFonts w:ascii="Arial" w:hAnsi="Arial" w:cs="Arial"/>
          <w:bCs/>
        </w:rPr>
        <w:t>.  Appropriates $5 million for the Iowa Broadband Grant Program.</w:t>
      </w:r>
    </w:p>
    <w:p w14:paraId="5D14E70C" w14:textId="77777777" w:rsidR="0096444F" w:rsidRPr="0096444F" w:rsidRDefault="0096444F" w:rsidP="0096444F">
      <w:pPr>
        <w:spacing w:after="0" w:line="240" w:lineRule="auto"/>
        <w:rPr>
          <w:rFonts w:ascii="Arial" w:hAnsi="Arial" w:cs="Arial"/>
          <w:bCs/>
        </w:rPr>
      </w:pPr>
      <w:r w:rsidRPr="0096444F">
        <w:rPr>
          <w:rFonts w:ascii="Arial" w:hAnsi="Arial" w:cs="Arial"/>
          <w:bCs/>
        </w:rPr>
        <w:t xml:space="preserve"> </w:t>
      </w:r>
    </w:p>
    <w:p w14:paraId="05F0B1A5" w14:textId="77777777" w:rsidR="0096444F" w:rsidRPr="0096444F" w:rsidRDefault="00DF497D" w:rsidP="0096444F">
      <w:pPr>
        <w:spacing w:after="0" w:line="240" w:lineRule="auto"/>
        <w:rPr>
          <w:rFonts w:ascii="Arial" w:hAnsi="Arial" w:cs="Arial"/>
          <w:bCs/>
        </w:rPr>
      </w:pPr>
      <w:hyperlink r:id="rId12" w:history="1">
        <w:r w:rsidR="0096444F" w:rsidRPr="0096444F">
          <w:rPr>
            <w:rStyle w:val="Hyperlink"/>
            <w:rFonts w:ascii="Arial" w:hAnsi="Arial" w:cs="Arial"/>
            <w:b/>
          </w:rPr>
          <w:t>HF 537</w:t>
        </w:r>
      </w:hyperlink>
      <w:r w:rsidR="0096444F" w:rsidRPr="0096444F">
        <w:rPr>
          <w:rFonts w:ascii="Arial" w:hAnsi="Arial" w:cs="Arial"/>
          <w:b/>
        </w:rPr>
        <w:t xml:space="preserve"> -- Rights of Way Fees</w:t>
      </w:r>
      <w:r w:rsidR="0096444F" w:rsidRPr="0096444F">
        <w:rPr>
          <w:rFonts w:ascii="Arial" w:hAnsi="Arial" w:cs="Arial"/>
          <w:bCs/>
        </w:rPr>
        <w:t>.  Limits allowable fees charged to utilities to those that are “direct and fully documented management costs.”</w:t>
      </w:r>
    </w:p>
    <w:p w14:paraId="7DDBCB33" w14:textId="77777777" w:rsidR="0096444F" w:rsidRPr="0096444F" w:rsidRDefault="0096444F" w:rsidP="0096444F">
      <w:pPr>
        <w:spacing w:after="0" w:line="240" w:lineRule="auto"/>
        <w:rPr>
          <w:rFonts w:ascii="Arial" w:hAnsi="Arial" w:cs="Arial"/>
          <w:bCs/>
        </w:rPr>
      </w:pPr>
    </w:p>
    <w:p w14:paraId="740F4F92" w14:textId="77777777" w:rsidR="0096444F" w:rsidRPr="0096444F" w:rsidRDefault="0096444F" w:rsidP="0096444F">
      <w:pPr>
        <w:pStyle w:val="Default"/>
        <w:jc w:val="center"/>
        <w:rPr>
          <w:rFonts w:ascii="Arial" w:hAnsi="Arial" w:cs="Arial"/>
          <w:b/>
          <w:color w:val="auto"/>
          <w:sz w:val="22"/>
          <w:szCs w:val="22"/>
          <w:u w:val="single"/>
        </w:rPr>
      </w:pPr>
      <w:r w:rsidRPr="0096444F">
        <w:rPr>
          <w:rFonts w:ascii="Arial" w:hAnsi="Arial" w:cs="Arial"/>
          <w:b/>
          <w:color w:val="auto"/>
          <w:sz w:val="22"/>
          <w:szCs w:val="22"/>
          <w:u w:val="single"/>
        </w:rPr>
        <w:t xml:space="preserve">2018 </w:t>
      </w:r>
    </w:p>
    <w:p w14:paraId="0A6C918C" w14:textId="77777777" w:rsidR="0096444F" w:rsidRPr="0096444F" w:rsidRDefault="0096444F" w:rsidP="0096444F">
      <w:pPr>
        <w:pStyle w:val="Default"/>
        <w:jc w:val="center"/>
        <w:rPr>
          <w:rFonts w:ascii="Arial" w:hAnsi="Arial" w:cs="Arial"/>
          <w:b/>
          <w:color w:val="auto"/>
          <w:sz w:val="22"/>
          <w:szCs w:val="22"/>
          <w:u w:val="single"/>
        </w:rPr>
      </w:pPr>
    </w:p>
    <w:p w14:paraId="021864EE" w14:textId="77777777" w:rsidR="0096444F" w:rsidRPr="0096444F" w:rsidRDefault="00DF497D" w:rsidP="0096444F">
      <w:pPr>
        <w:widowControl w:val="0"/>
        <w:spacing w:after="0" w:line="240" w:lineRule="auto"/>
        <w:rPr>
          <w:rFonts w:ascii="Arial" w:hAnsi="Arial" w:cs="Arial"/>
        </w:rPr>
      </w:pPr>
      <w:hyperlink r:id="rId13" w:history="1">
        <w:r w:rsidR="0096444F" w:rsidRPr="0096444F">
          <w:rPr>
            <w:rStyle w:val="Hyperlink"/>
            <w:rFonts w:ascii="Arial" w:hAnsi="Arial" w:cs="Arial"/>
            <w:b/>
            <w:bCs/>
          </w:rPr>
          <w:t>SF 2388</w:t>
        </w:r>
      </w:hyperlink>
      <w:r w:rsidR="0096444F" w:rsidRPr="0096444F">
        <w:rPr>
          <w:rFonts w:ascii="Arial" w:hAnsi="Arial" w:cs="Arial"/>
          <w:b/>
          <w:bCs/>
        </w:rPr>
        <w:t xml:space="preserve"> – Property Tax Reform.   </w:t>
      </w:r>
      <w:r w:rsidR="0096444F" w:rsidRPr="0096444F">
        <w:rPr>
          <w:rFonts w:ascii="Arial" w:hAnsi="Arial" w:cs="Arial"/>
        </w:rPr>
        <w:t>This bill changes the assessment mechanism of telephone property to be on the same basis as commercial businesses (i.e., land and building).  Also exempts the value of transmission property used for telecommunications, cable television, or internet service from assessment.  Implements a transition to land and building assessment during assessment years 2019 to 2021, with full implementation in the 2022 assessment year.  During the transition, the Department of Revenue will calculate an assessed value using the current assessment method and keeping both the 40% exemption and broadband buildout exemption in place.  As part of the phase in, an additional exemption will be applied as follows:</w:t>
      </w:r>
    </w:p>
    <w:p w14:paraId="7CE4B35B" w14:textId="77777777" w:rsidR="0096444F" w:rsidRPr="0096444F" w:rsidRDefault="0096444F" w:rsidP="0096444F">
      <w:pPr>
        <w:pStyle w:val="ListParagraph"/>
        <w:widowControl w:val="0"/>
        <w:numPr>
          <w:ilvl w:val="0"/>
          <w:numId w:val="4"/>
        </w:numPr>
        <w:spacing w:after="0" w:line="240" w:lineRule="auto"/>
        <w:rPr>
          <w:rFonts w:ascii="Arial" w:hAnsi="Arial" w:cs="Arial"/>
        </w:rPr>
      </w:pPr>
      <w:r w:rsidRPr="0096444F">
        <w:rPr>
          <w:rFonts w:ascii="Arial" w:hAnsi="Arial" w:cs="Arial"/>
        </w:rPr>
        <w:t>Assessment Year 2019 – 25%</w:t>
      </w:r>
    </w:p>
    <w:p w14:paraId="6CC1B367" w14:textId="77777777" w:rsidR="0096444F" w:rsidRPr="0096444F" w:rsidRDefault="0096444F" w:rsidP="0096444F">
      <w:pPr>
        <w:pStyle w:val="ListParagraph"/>
        <w:widowControl w:val="0"/>
        <w:numPr>
          <w:ilvl w:val="0"/>
          <w:numId w:val="4"/>
        </w:numPr>
        <w:spacing w:after="0" w:line="240" w:lineRule="auto"/>
        <w:rPr>
          <w:rFonts w:ascii="Arial" w:hAnsi="Arial" w:cs="Arial"/>
        </w:rPr>
      </w:pPr>
      <w:r w:rsidRPr="0096444F">
        <w:rPr>
          <w:rFonts w:ascii="Arial" w:hAnsi="Arial" w:cs="Arial"/>
        </w:rPr>
        <w:t>Assessment Year 2020 – 50%</w:t>
      </w:r>
    </w:p>
    <w:p w14:paraId="5E0C653C" w14:textId="77777777" w:rsidR="0096444F" w:rsidRPr="0096444F" w:rsidRDefault="0096444F" w:rsidP="0096444F">
      <w:pPr>
        <w:pStyle w:val="ListParagraph"/>
        <w:widowControl w:val="0"/>
        <w:numPr>
          <w:ilvl w:val="0"/>
          <w:numId w:val="4"/>
        </w:numPr>
        <w:spacing w:after="0" w:line="240" w:lineRule="auto"/>
        <w:rPr>
          <w:rFonts w:ascii="Arial" w:hAnsi="Arial" w:cs="Arial"/>
        </w:rPr>
      </w:pPr>
      <w:r w:rsidRPr="0096444F">
        <w:rPr>
          <w:rFonts w:ascii="Arial" w:hAnsi="Arial" w:cs="Arial"/>
        </w:rPr>
        <w:t xml:space="preserve">Assessment Year 2021 – 75% </w:t>
      </w:r>
    </w:p>
    <w:p w14:paraId="1C94A184" w14:textId="77777777" w:rsidR="0096444F" w:rsidRPr="0096444F" w:rsidRDefault="0096444F" w:rsidP="0096444F">
      <w:pPr>
        <w:pStyle w:val="ListParagraph"/>
        <w:widowControl w:val="0"/>
        <w:spacing w:after="0" w:line="240" w:lineRule="auto"/>
        <w:rPr>
          <w:rFonts w:ascii="Arial" w:hAnsi="Arial" w:cs="Arial"/>
        </w:rPr>
      </w:pPr>
      <w:r w:rsidRPr="0096444F">
        <w:rPr>
          <w:rFonts w:ascii="Arial" w:hAnsi="Arial" w:cs="Arial"/>
        </w:rPr>
        <w:lastRenderedPageBreak/>
        <w:t> </w:t>
      </w:r>
    </w:p>
    <w:p w14:paraId="0D04FBF4" w14:textId="77777777" w:rsidR="0096444F" w:rsidRPr="0096444F" w:rsidRDefault="00DF497D" w:rsidP="0096444F">
      <w:pPr>
        <w:spacing w:after="0" w:line="240" w:lineRule="auto"/>
        <w:rPr>
          <w:rFonts w:ascii="Arial" w:hAnsi="Arial" w:cs="Arial"/>
        </w:rPr>
      </w:pPr>
      <w:hyperlink r:id="rId14" w:history="1">
        <w:r w:rsidR="0096444F" w:rsidRPr="0096444F">
          <w:rPr>
            <w:rStyle w:val="Hyperlink"/>
            <w:rFonts w:ascii="Arial" w:hAnsi="Arial" w:cs="Arial"/>
            <w:b/>
            <w:bCs/>
          </w:rPr>
          <w:t>HF2446</w:t>
        </w:r>
      </w:hyperlink>
      <w:r w:rsidR="0096444F" w:rsidRPr="0096444F">
        <w:rPr>
          <w:rFonts w:ascii="Arial" w:hAnsi="Arial" w:cs="Arial"/>
        </w:rPr>
        <w:t xml:space="preserve"> – </w:t>
      </w:r>
      <w:r w:rsidR="0096444F" w:rsidRPr="0096444F">
        <w:rPr>
          <w:rFonts w:ascii="Arial" w:hAnsi="Arial" w:cs="Arial"/>
          <w:b/>
        </w:rPr>
        <w:t>LEC Deregulation.</w:t>
      </w:r>
      <w:r w:rsidR="0096444F" w:rsidRPr="0096444F">
        <w:rPr>
          <w:rFonts w:ascii="Arial" w:hAnsi="Arial" w:cs="Arial"/>
        </w:rPr>
        <w:t xml:space="preserve">  This bill implements comprehensive LEC deregulation to codify recent IUB and ICA efforts to largely deregulate retail local exchange carriers service. In addition, tis bill deregulates VoIP service and retains IUB authority to settle interconnection disputes.  It also reformed Dual- Party Relay funding to equalize wireline and wireless carriers at $0.03 per line per month.    </w:t>
      </w:r>
    </w:p>
    <w:p w14:paraId="13427F8F" w14:textId="77777777" w:rsidR="0096444F" w:rsidRPr="0096444F" w:rsidRDefault="0096444F" w:rsidP="0096444F">
      <w:pPr>
        <w:spacing w:after="0" w:line="240" w:lineRule="auto"/>
        <w:rPr>
          <w:rFonts w:ascii="Arial" w:hAnsi="Arial" w:cs="Arial"/>
        </w:rPr>
      </w:pPr>
    </w:p>
    <w:p w14:paraId="7F08BF46" w14:textId="77777777"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2016</w:t>
      </w:r>
    </w:p>
    <w:p w14:paraId="0D9EECEC" w14:textId="77777777" w:rsidR="0096444F" w:rsidRPr="0096444F" w:rsidRDefault="0096444F" w:rsidP="0096444F">
      <w:pPr>
        <w:spacing w:after="0" w:line="240" w:lineRule="auto"/>
        <w:jc w:val="center"/>
        <w:rPr>
          <w:rFonts w:ascii="Arial" w:hAnsi="Arial" w:cs="Arial"/>
          <w:b/>
          <w:u w:val="single"/>
        </w:rPr>
      </w:pPr>
    </w:p>
    <w:p w14:paraId="24F3E364" w14:textId="77777777" w:rsidR="0096444F" w:rsidRPr="0096444F" w:rsidRDefault="00DF497D" w:rsidP="0096444F">
      <w:pPr>
        <w:spacing w:after="0" w:line="240" w:lineRule="auto"/>
        <w:rPr>
          <w:rFonts w:ascii="Arial" w:hAnsi="Arial" w:cs="Arial"/>
        </w:rPr>
      </w:pPr>
      <w:hyperlink r:id="rId15" w:history="1">
        <w:r w:rsidR="0096444F" w:rsidRPr="0096444F">
          <w:rPr>
            <w:rFonts w:ascii="Arial" w:eastAsia="Times New Roman" w:hAnsi="Arial" w:cs="Arial"/>
            <w:b/>
            <w:color w:val="0000FF"/>
            <w:u w:val="single"/>
          </w:rPr>
          <w:t>SF 453</w:t>
        </w:r>
      </w:hyperlink>
      <w:r w:rsidR="0096444F" w:rsidRPr="0096444F">
        <w:rPr>
          <w:rFonts w:ascii="Arial" w:eastAsia="Times New Roman" w:hAnsi="Arial" w:cs="Arial"/>
          <w:color w:val="0000FF"/>
          <w:u w:val="single"/>
        </w:rPr>
        <w:softHyphen/>
      </w:r>
      <w:r w:rsidR="0096444F" w:rsidRPr="0096444F">
        <w:rPr>
          <w:rFonts w:ascii="Arial" w:eastAsia="Times New Roman" w:hAnsi="Arial" w:cs="Arial"/>
          <w:color w:val="0000FF"/>
        </w:rPr>
        <w:t xml:space="preserve"> </w:t>
      </w:r>
      <w:r w:rsidR="0096444F" w:rsidRPr="0096444F">
        <w:rPr>
          <w:rFonts w:ascii="Arial" w:hAnsi="Arial" w:cs="Arial"/>
          <w:b/>
        </w:rPr>
        <w:t xml:space="preserve">– Rural Healthcare through Telepharmacy.  </w:t>
      </w:r>
      <w:r w:rsidR="0096444F" w:rsidRPr="0096444F">
        <w:rPr>
          <w:rFonts w:ascii="Arial" w:hAnsi="Arial" w:cs="Arial"/>
        </w:rPr>
        <w:t xml:space="preserve">The Alliance joined a coalition to promote economic growth and population retention in rural Iowa via the expansion of telepharmacy services to small communities where traditional pharmacies can no longer operate profitably and saves struggling pharmacies from closing.  </w:t>
      </w:r>
    </w:p>
    <w:p w14:paraId="3B673C02" w14:textId="77777777" w:rsidR="0096444F" w:rsidRPr="0096444F" w:rsidRDefault="0096444F" w:rsidP="0096444F">
      <w:pPr>
        <w:spacing w:after="0" w:line="240" w:lineRule="auto"/>
        <w:rPr>
          <w:rFonts w:ascii="Arial" w:hAnsi="Arial" w:cs="Arial"/>
        </w:rPr>
      </w:pPr>
    </w:p>
    <w:p w14:paraId="0275F9EA" w14:textId="77777777"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2015</w:t>
      </w:r>
    </w:p>
    <w:p w14:paraId="030129AD" w14:textId="77777777" w:rsidR="0096444F" w:rsidRPr="0096444F" w:rsidRDefault="0096444F" w:rsidP="0096444F">
      <w:pPr>
        <w:spacing w:after="0" w:line="240" w:lineRule="auto"/>
        <w:jc w:val="center"/>
        <w:rPr>
          <w:rFonts w:ascii="Arial" w:hAnsi="Arial" w:cs="Arial"/>
          <w:b/>
          <w:u w:val="single"/>
        </w:rPr>
      </w:pPr>
    </w:p>
    <w:p w14:paraId="5EA89702" w14:textId="77777777" w:rsidR="0096444F" w:rsidRPr="0096444F" w:rsidRDefault="00DF497D" w:rsidP="0096444F">
      <w:pPr>
        <w:spacing w:after="0" w:line="240" w:lineRule="auto"/>
        <w:rPr>
          <w:rFonts w:ascii="Arial" w:hAnsi="Arial" w:cs="Arial"/>
        </w:rPr>
      </w:pPr>
      <w:hyperlink r:id="rId16" w:history="1">
        <w:r w:rsidR="0096444F" w:rsidRPr="0096444F">
          <w:rPr>
            <w:rStyle w:val="Hyperlink"/>
            <w:rFonts w:ascii="Arial" w:hAnsi="Arial" w:cs="Arial"/>
            <w:b/>
          </w:rPr>
          <w:t>HF 655</w:t>
        </w:r>
      </w:hyperlink>
      <w:r w:rsidR="0096444F" w:rsidRPr="0096444F">
        <w:rPr>
          <w:rFonts w:ascii="Arial" w:hAnsi="Arial" w:cs="Arial"/>
        </w:rPr>
        <w:t xml:space="preserve"> – </w:t>
      </w:r>
      <w:r w:rsidR="0096444F" w:rsidRPr="0096444F">
        <w:rPr>
          <w:rFonts w:ascii="Arial" w:hAnsi="Arial" w:cs="Arial"/>
          <w:b/>
        </w:rPr>
        <w:t>Broadband Expansion Incentives -- “Governor’s Connect Every Acre” Initiative.</w:t>
      </w:r>
      <w:r w:rsidR="0096444F" w:rsidRPr="0096444F">
        <w:rPr>
          <w:rFonts w:ascii="Arial" w:hAnsi="Arial" w:cs="Arial"/>
        </w:rPr>
        <w:t xml:space="preserve"> The Alliance lead the industry effort at the Iowa Capitol on the broadband proposals to ensure that “no harm” was done to rural telecommunications providers in the final legislation. This bill established a broadband grant program and 100% property tax exemption for 10 years for new buildouts into “targeted service areas.”  </w:t>
      </w:r>
    </w:p>
    <w:p w14:paraId="35C8B7C5" w14:textId="77777777" w:rsidR="00300E38" w:rsidRDefault="00300E38" w:rsidP="0096444F">
      <w:pPr>
        <w:spacing w:after="0" w:line="240" w:lineRule="auto"/>
        <w:jc w:val="center"/>
        <w:rPr>
          <w:rFonts w:ascii="Arial" w:hAnsi="Arial" w:cs="Arial"/>
          <w:b/>
          <w:u w:val="single"/>
        </w:rPr>
      </w:pPr>
    </w:p>
    <w:p w14:paraId="56DC6A87" w14:textId="756B7086"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2014</w:t>
      </w:r>
    </w:p>
    <w:p w14:paraId="60EFA9E9" w14:textId="77777777" w:rsidR="0096444F" w:rsidRPr="0096444F" w:rsidRDefault="0096444F" w:rsidP="0096444F">
      <w:pPr>
        <w:spacing w:after="0" w:line="240" w:lineRule="auto"/>
        <w:jc w:val="center"/>
        <w:rPr>
          <w:rFonts w:ascii="Arial" w:hAnsi="Arial" w:cs="Arial"/>
          <w:b/>
          <w:u w:val="single"/>
        </w:rPr>
      </w:pPr>
    </w:p>
    <w:p w14:paraId="65564CEC" w14:textId="77777777" w:rsidR="0096444F" w:rsidRPr="0096444F" w:rsidRDefault="00DF497D" w:rsidP="0096444F">
      <w:pPr>
        <w:spacing w:after="0" w:line="240" w:lineRule="auto"/>
        <w:rPr>
          <w:rFonts w:ascii="Arial" w:hAnsi="Arial" w:cs="Arial"/>
        </w:rPr>
      </w:pPr>
      <w:hyperlink r:id="rId17" w:history="1">
        <w:r w:rsidR="0096444F" w:rsidRPr="0096444F">
          <w:rPr>
            <w:rStyle w:val="Hyperlink"/>
            <w:rFonts w:ascii="Arial" w:hAnsi="Arial" w:cs="Arial"/>
            <w:b/>
          </w:rPr>
          <w:t>SF 2195</w:t>
        </w:r>
      </w:hyperlink>
      <w:r w:rsidR="0096444F" w:rsidRPr="0096444F">
        <w:rPr>
          <w:rFonts w:ascii="Arial" w:hAnsi="Arial" w:cs="Arial"/>
        </w:rPr>
        <w:t xml:space="preserve"> – </w:t>
      </w:r>
      <w:r w:rsidR="0096444F" w:rsidRPr="0096444F">
        <w:rPr>
          <w:rFonts w:ascii="Arial" w:hAnsi="Arial" w:cs="Arial"/>
          <w:b/>
        </w:rPr>
        <w:t>Local Service Tariff Deregulation.</w:t>
      </w:r>
      <w:r w:rsidR="0096444F" w:rsidRPr="0096444F">
        <w:rPr>
          <w:rFonts w:ascii="Arial" w:hAnsi="Arial" w:cs="Arial"/>
        </w:rPr>
        <w:t xml:space="preserve"> The Alliance made improvements to IUB legislation that eliminated the requirement for local services tariffs and gave LECs more flexibility in setting terms and conditions of service.  </w:t>
      </w:r>
    </w:p>
    <w:p w14:paraId="3AD1EE8C" w14:textId="77777777" w:rsidR="0096444F" w:rsidRPr="0096444F" w:rsidRDefault="0096444F" w:rsidP="0096444F">
      <w:pPr>
        <w:spacing w:after="0" w:line="240" w:lineRule="auto"/>
        <w:rPr>
          <w:rFonts w:ascii="Arial" w:hAnsi="Arial" w:cs="Arial"/>
        </w:rPr>
      </w:pPr>
    </w:p>
    <w:p w14:paraId="22B95185" w14:textId="5FC8B829" w:rsidR="0096444F" w:rsidRPr="0096444F" w:rsidRDefault="0096444F" w:rsidP="0096444F">
      <w:pPr>
        <w:spacing w:after="0" w:line="240" w:lineRule="auto"/>
        <w:rPr>
          <w:rFonts w:ascii="Arial" w:hAnsi="Arial" w:cs="Arial"/>
        </w:rPr>
      </w:pPr>
      <w:r w:rsidRPr="0096444F">
        <w:rPr>
          <w:rFonts w:ascii="Arial" w:hAnsi="Arial" w:cs="Arial"/>
          <w:b/>
          <w:bCs/>
        </w:rPr>
        <w:t>Defense.</w:t>
      </w:r>
      <w:r w:rsidRPr="0096444F">
        <w:rPr>
          <w:rFonts w:ascii="Arial" w:hAnsi="Arial" w:cs="Arial"/>
        </w:rPr>
        <w:t xml:space="preserve">  Most of our effort in 2014 was spent on defense as our members led successful battles to defeat a proposal to utilize the ICN as a solution to “Connect Every Iowan” (</w:t>
      </w:r>
      <w:hyperlink r:id="rId18" w:history="1">
        <w:r w:rsidRPr="0096444F">
          <w:rPr>
            <w:rStyle w:val="Hyperlink"/>
            <w:rFonts w:ascii="Arial" w:hAnsi="Arial" w:cs="Arial"/>
          </w:rPr>
          <w:t>HF2472</w:t>
        </w:r>
      </w:hyperlink>
      <w:r w:rsidRPr="0096444F">
        <w:rPr>
          <w:rFonts w:ascii="Arial" w:hAnsi="Arial" w:cs="Arial"/>
        </w:rPr>
        <w:t xml:space="preserve">) and to defeat another bill that would have given VoIP regulatory advantages over the provision of TDM voice services.  </w:t>
      </w:r>
    </w:p>
    <w:p w14:paraId="3A791AEE" w14:textId="77777777" w:rsidR="0096444F" w:rsidRPr="0096444F" w:rsidRDefault="0096444F" w:rsidP="0096444F">
      <w:pPr>
        <w:spacing w:after="0" w:line="240" w:lineRule="auto"/>
        <w:rPr>
          <w:rFonts w:ascii="Arial" w:hAnsi="Arial" w:cs="Arial"/>
        </w:rPr>
      </w:pPr>
    </w:p>
    <w:p w14:paraId="67D10B8C" w14:textId="77777777"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2013</w:t>
      </w:r>
    </w:p>
    <w:p w14:paraId="59B4DE69" w14:textId="77777777" w:rsidR="0096444F" w:rsidRPr="0096444F" w:rsidRDefault="0096444F" w:rsidP="0096444F">
      <w:pPr>
        <w:spacing w:after="0" w:line="240" w:lineRule="auto"/>
        <w:jc w:val="center"/>
        <w:rPr>
          <w:rFonts w:ascii="Arial" w:hAnsi="Arial" w:cs="Arial"/>
          <w:u w:val="single"/>
        </w:rPr>
      </w:pPr>
    </w:p>
    <w:p w14:paraId="0AC55936" w14:textId="77777777" w:rsidR="0096444F" w:rsidRPr="0096444F" w:rsidRDefault="00DF497D" w:rsidP="0096444F">
      <w:pPr>
        <w:spacing w:after="0" w:line="240" w:lineRule="auto"/>
        <w:rPr>
          <w:rFonts w:ascii="Arial" w:hAnsi="Arial" w:cs="Arial"/>
        </w:rPr>
      </w:pPr>
      <w:hyperlink r:id="rId19" w:history="1">
        <w:r w:rsidR="0096444F" w:rsidRPr="0096444F">
          <w:rPr>
            <w:rStyle w:val="Hyperlink"/>
            <w:rFonts w:ascii="Arial" w:hAnsi="Arial" w:cs="Arial"/>
            <w:b/>
          </w:rPr>
          <w:t>SF 295</w:t>
        </w:r>
      </w:hyperlink>
      <w:r w:rsidR="0096444F" w:rsidRPr="0096444F">
        <w:rPr>
          <w:rFonts w:ascii="Arial" w:hAnsi="Arial" w:cs="Arial"/>
        </w:rPr>
        <w:t xml:space="preserve">  -  </w:t>
      </w:r>
      <w:r w:rsidR="0096444F" w:rsidRPr="0096444F">
        <w:rPr>
          <w:rFonts w:ascii="Arial" w:hAnsi="Arial" w:cs="Arial"/>
          <w:b/>
        </w:rPr>
        <w:t xml:space="preserve">Property Tax Exemption for Local Exchange Carriers.  </w:t>
      </w:r>
      <w:r w:rsidR="0096444F" w:rsidRPr="0096444F">
        <w:rPr>
          <w:rFonts w:ascii="Arial" w:hAnsi="Arial" w:cs="Arial"/>
          <w:bCs/>
        </w:rPr>
        <w:t>After years of lobbying for changes to the burdensome application of monopoly-style property tax assessments on LECs, the Legislature enacted a flat reduction as follows:</w:t>
      </w:r>
      <w:r w:rsidR="0096444F" w:rsidRPr="0096444F">
        <w:rPr>
          <w:rFonts w:ascii="Arial" w:hAnsi="Arial" w:cs="Arial"/>
          <w:b/>
        </w:rPr>
        <w:t xml:space="preserve">  </w:t>
      </w:r>
      <w:r w:rsidR="0096444F" w:rsidRPr="0096444F">
        <w:rPr>
          <w:rFonts w:ascii="Arial" w:hAnsi="Arial" w:cs="Arial"/>
        </w:rPr>
        <w:t> </w:t>
      </w:r>
    </w:p>
    <w:p w14:paraId="4FFC11C8" w14:textId="77777777" w:rsidR="0096444F" w:rsidRPr="0096444F" w:rsidRDefault="0096444F" w:rsidP="0096444F">
      <w:pPr>
        <w:numPr>
          <w:ilvl w:val="0"/>
          <w:numId w:val="2"/>
        </w:numPr>
        <w:spacing w:after="0" w:line="240" w:lineRule="auto"/>
        <w:rPr>
          <w:rFonts w:ascii="Arial" w:hAnsi="Arial" w:cs="Arial"/>
        </w:rPr>
      </w:pPr>
      <w:r w:rsidRPr="0096444F">
        <w:rPr>
          <w:rFonts w:ascii="Arial" w:hAnsi="Arial" w:cs="Arial"/>
        </w:rPr>
        <w:t xml:space="preserve">Telcos receive a 40 percent exemption on overall valuation up to $20 million phased in over 2013 and 2014.  There is a tiered percentage of exemption for companies with values over $20 million up to $500 million.  </w:t>
      </w:r>
    </w:p>
    <w:p w14:paraId="14430318" w14:textId="77777777" w:rsidR="0096444F" w:rsidRPr="0096444F" w:rsidRDefault="0096444F" w:rsidP="0096444F">
      <w:pPr>
        <w:numPr>
          <w:ilvl w:val="0"/>
          <w:numId w:val="2"/>
        </w:numPr>
        <w:spacing w:after="0" w:line="240" w:lineRule="auto"/>
        <w:rPr>
          <w:rFonts w:ascii="Arial" w:hAnsi="Arial" w:cs="Arial"/>
        </w:rPr>
      </w:pPr>
      <w:r w:rsidRPr="0096444F">
        <w:rPr>
          <w:rFonts w:ascii="Arial" w:hAnsi="Arial" w:cs="Arial"/>
        </w:rPr>
        <w:t>A 20 percent exemption effective in the Jan. 1, 2013 assessment year. A 40 percent exemption will be effective during the Jan. 1, 2014 assessment year. </w:t>
      </w:r>
    </w:p>
    <w:p w14:paraId="69DA7699" w14:textId="77777777" w:rsidR="0096444F" w:rsidRPr="0096444F" w:rsidRDefault="0096444F" w:rsidP="0096444F">
      <w:pPr>
        <w:spacing w:after="0" w:line="240" w:lineRule="auto"/>
        <w:rPr>
          <w:rFonts w:ascii="Arial" w:hAnsi="Arial" w:cs="Arial"/>
        </w:rPr>
      </w:pPr>
    </w:p>
    <w:p w14:paraId="7D04C556" w14:textId="77777777" w:rsidR="0096444F" w:rsidRPr="0096444F" w:rsidRDefault="00DF497D" w:rsidP="0096444F">
      <w:pPr>
        <w:spacing w:after="0" w:line="240" w:lineRule="auto"/>
        <w:rPr>
          <w:rFonts w:ascii="Arial" w:hAnsi="Arial" w:cs="Arial"/>
        </w:rPr>
      </w:pPr>
      <w:hyperlink r:id="rId20" w:history="1">
        <w:r w:rsidR="0096444F" w:rsidRPr="0096444F">
          <w:rPr>
            <w:rStyle w:val="Hyperlink"/>
            <w:rFonts w:ascii="Arial" w:hAnsi="Arial" w:cs="Arial"/>
            <w:b/>
          </w:rPr>
          <w:t>HF 644</w:t>
        </w:r>
      </w:hyperlink>
      <w:r w:rsidR="0096444F" w:rsidRPr="0096444F">
        <w:rPr>
          <w:rFonts w:ascii="Arial" w:hAnsi="Arial" w:cs="Arial"/>
        </w:rPr>
        <w:t xml:space="preserve"> – </w:t>
      </w:r>
      <w:r w:rsidR="0096444F" w:rsidRPr="0096444F">
        <w:rPr>
          <w:rFonts w:ascii="Arial" w:hAnsi="Arial" w:cs="Arial"/>
          <w:b/>
        </w:rPr>
        <w:t xml:space="preserve">E911 Surcharge Equalization. </w:t>
      </w:r>
      <w:r w:rsidR="0096444F" w:rsidRPr="0096444F">
        <w:rPr>
          <w:rFonts w:ascii="Arial" w:hAnsi="Arial" w:cs="Arial"/>
        </w:rPr>
        <w:t>This E911 equalization legislation achieved long sought-after reform of E911 communications funding and marked the achievement of reaching full communications industry parity. The bill included provisions to help accomplish this such as: </w:t>
      </w:r>
    </w:p>
    <w:p w14:paraId="3B137AD0" w14:textId="77777777" w:rsidR="0096444F" w:rsidRPr="0096444F" w:rsidRDefault="0096444F" w:rsidP="0096444F">
      <w:pPr>
        <w:numPr>
          <w:ilvl w:val="0"/>
          <w:numId w:val="3"/>
        </w:numPr>
        <w:spacing w:after="0" w:line="240" w:lineRule="auto"/>
        <w:rPr>
          <w:rFonts w:ascii="Arial" w:hAnsi="Arial" w:cs="Arial"/>
        </w:rPr>
      </w:pPr>
      <w:r w:rsidRPr="0096444F">
        <w:rPr>
          <w:rFonts w:ascii="Arial" w:hAnsi="Arial" w:cs="Arial"/>
        </w:rPr>
        <w:t xml:space="preserve">Increasing the wireless surcharge from $0.65 to $1.00 </w:t>
      </w:r>
    </w:p>
    <w:p w14:paraId="755B6017" w14:textId="77777777" w:rsidR="0096444F" w:rsidRPr="0096444F" w:rsidRDefault="0096444F" w:rsidP="0096444F">
      <w:pPr>
        <w:numPr>
          <w:ilvl w:val="0"/>
          <w:numId w:val="3"/>
        </w:numPr>
        <w:spacing w:after="0" w:line="240" w:lineRule="auto"/>
        <w:rPr>
          <w:rFonts w:ascii="Arial" w:hAnsi="Arial" w:cs="Arial"/>
        </w:rPr>
      </w:pPr>
      <w:r w:rsidRPr="0096444F">
        <w:rPr>
          <w:rFonts w:ascii="Arial" w:hAnsi="Arial" w:cs="Arial"/>
        </w:rPr>
        <w:t xml:space="preserve">Removing the local option of seeking a referendum to increase the surcharge on wireline customers up to $2.50 per month.  </w:t>
      </w:r>
    </w:p>
    <w:p w14:paraId="4D824D16" w14:textId="77777777" w:rsidR="0096444F" w:rsidRPr="0096444F" w:rsidRDefault="0096444F" w:rsidP="0096444F">
      <w:pPr>
        <w:spacing w:after="0" w:line="240" w:lineRule="auto"/>
        <w:rPr>
          <w:rFonts w:ascii="Arial" w:hAnsi="Arial" w:cs="Arial"/>
        </w:rPr>
      </w:pPr>
    </w:p>
    <w:p w14:paraId="59BD7FDF" w14:textId="672D1A43"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2012</w:t>
      </w:r>
    </w:p>
    <w:p w14:paraId="55DF855F" w14:textId="77777777" w:rsidR="0096444F" w:rsidRPr="0096444F" w:rsidRDefault="0096444F" w:rsidP="0096444F">
      <w:pPr>
        <w:spacing w:after="0" w:line="240" w:lineRule="auto"/>
        <w:jc w:val="center"/>
        <w:rPr>
          <w:rFonts w:ascii="Arial" w:hAnsi="Arial" w:cs="Arial"/>
          <w:u w:val="single"/>
        </w:rPr>
      </w:pPr>
    </w:p>
    <w:p w14:paraId="7B0C74E9" w14:textId="77777777" w:rsidR="0096444F" w:rsidRPr="0096444F" w:rsidRDefault="00DF497D" w:rsidP="0096444F">
      <w:pPr>
        <w:spacing w:after="0" w:line="240" w:lineRule="auto"/>
        <w:rPr>
          <w:rFonts w:ascii="Arial" w:hAnsi="Arial" w:cs="Arial"/>
        </w:rPr>
      </w:pPr>
      <w:hyperlink r:id="rId21" w:history="1">
        <w:r w:rsidR="0096444F" w:rsidRPr="0096444F">
          <w:rPr>
            <w:rStyle w:val="Hyperlink"/>
            <w:rFonts w:ascii="Arial" w:hAnsi="Arial" w:cs="Arial"/>
            <w:b/>
          </w:rPr>
          <w:t>SF 2332</w:t>
        </w:r>
      </w:hyperlink>
      <w:r w:rsidR="0096444F" w:rsidRPr="0096444F">
        <w:rPr>
          <w:rFonts w:ascii="Arial" w:hAnsi="Arial" w:cs="Arial"/>
        </w:rPr>
        <w:t xml:space="preserve">  -  </w:t>
      </w:r>
      <w:r w:rsidR="0096444F" w:rsidRPr="0096444F">
        <w:rPr>
          <w:rFonts w:ascii="Arial" w:hAnsi="Arial" w:cs="Arial"/>
          <w:b/>
        </w:rPr>
        <w:t>E911 Modernization.</w:t>
      </w:r>
      <w:r w:rsidR="0096444F" w:rsidRPr="0096444F">
        <w:rPr>
          <w:rFonts w:ascii="Arial" w:hAnsi="Arial" w:cs="Arial"/>
        </w:rPr>
        <w:t xml:space="preserve"> While this bill lacked substantive E911 reform, it set the stage for E911 surcharge equalization during the 2013 legislative session through its call for an industry task force to address this and other E911-related issues. </w:t>
      </w:r>
    </w:p>
    <w:p w14:paraId="27EE01F6" w14:textId="77777777" w:rsidR="0096444F" w:rsidRPr="0096444F" w:rsidRDefault="0096444F" w:rsidP="0096444F">
      <w:pPr>
        <w:spacing w:after="0" w:line="240" w:lineRule="auto"/>
        <w:rPr>
          <w:rFonts w:ascii="Arial" w:hAnsi="Arial" w:cs="Arial"/>
        </w:rPr>
      </w:pPr>
    </w:p>
    <w:p w14:paraId="70CE02D2" w14:textId="77777777"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2011</w:t>
      </w:r>
    </w:p>
    <w:p w14:paraId="2A4F24EE" w14:textId="77777777" w:rsidR="0096444F" w:rsidRPr="0096444F" w:rsidRDefault="0096444F" w:rsidP="0096444F">
      <w:pPr>
        <w:spacing w:after="0" w:line="240" w:lineRule="auto"/>
        <w:jc w:val="center"/>
        <w:rPr>
          <w:rFonts w:ascii="Arial" w:hAnsi="Arial" w:cs="Arial"/>
          <w:u w:val="single"/>
        </w:rPr>
      </w:pPr>
    </w:p>
    <w:p w14:paraId="39489501" w14:textId="77777777" w:rsidR="0096444F" w:rsidRPr="0096444F" w:rsidRDefault="00DF497D" w:rsidP="0096444F">
      <w:pPr>
        <w:spacing w:after="0" w:line="240" w:lineRule="auto"/>
        <w:rPr>
          <w:rFonts w:ascii="Arial" w:hAnsi="Arial" w:cs="Arial"/>
        </w:rPr>
      </w:pPr>
      <w:hyperlink r:id="rId22" w:history="1">
        <w:r w:rsidR="0096444F" w:rsidRPr="0096444F">
          <w:rPr>
            <w:rStyle w:val="Hyperlink"/>
            <w:rFonts w:ascii="Arial" w:hAnsi="Arial" w:cs="Arial"/>
            <w:b/>
          </w:rPr>
          <w:t>HR 6</w:t>
        </w:r>
      </w:hyperlink>
      <w:r w:rsidR="0096444F" w:rsidRPr="0096444F">
        <w:rPr>
          <w:rFonts w:ascii="Arial" w:hAnsi="Arial" w:cs="Arial"/>
        </w:rPr>
        <w:t xml:space="preserve">  - </w:t>
      </w:r>
      <w:r w:rsidR="0096444F" w:rsidRPr="0096444F">
        <w:rPr>
          <w:rFonts w:ascii="Arial" w:hAnsi="Arial" w:cs="Arial"/>
          <w:b/>
        </w:rPr>
        <w:t>House Resolution Supporting Broadband in Rural Communities.</w:t>
      </w:r>
      <w:r w:rsidR="0096444F" w:rsidRPr="0096444F">
        <w:rPr>
          <w:rFonts w:ascii="Arial" w:hAnsi="Arial" w:cs="Arial"/>
        </w:rPr>
        <w:t xml:space="preserve">  The House unanimously passed this bipartisan resolution pointing out the faults of, and requesting modifications to, the FCC’s “National Broadband Plan” for the benefit of rural residents in Iowa. The resolution was used as an advocacy tool among federal policy makers. </w:t>
      </w:r>
    </w:p>
    <w:p w14:paraId="30891956" w14:textId="0D760D46" w:rsidR="0096444F" w:rsidRDefault="0096444F" w:rsidP="0096444F">
      <w:pPr>
        <w:spacing w:after="0" w:line="240" w:lineRule="auto"/>
        <w:rPr>
          <w:rFonts w:ascii="Arial" w:hAnsi="Arial" w:cs="Arial"/>
        </w:rPr>
      </w:pPr>
    </w:p>
    <w:p w14:paraId="364D9974" w14:textId="77777777" w:rsidR="00300E38" w:rsidRDefault="00300E38" w:rsidP="0096444F">
      <w:pPr>
        <w:spacing w:after="0" w:line="240" w:lineRule="auto"/>
        <w:jc w:val="center"/>
        <w:rPr>
          <w:rFonts w:ascii="Arial" w:hAnsi="Arial" w:cs="Arial"/>
          <w:b/>
          <w:u w:val="single"/>
        </w:rPr>
      </w:pPr>
    </w:p>
    <w:p w14:paraId="05C67F60" w14:textId="77777777" w:rsidR="00300E38" w:rsidRDefault="00300E38" w:rsidP="0096444F">
      <w:pPr>
        <w:spacing w:after="0" w:line="240" w:lineRule="auto"/>
        <w:jc w:val="center"/>
        <w:rPr>
          <w:rFonts w:ascii="Arial" w:hAnsi="Arial" w:cs="Arial"/>
          <w:b/>
          <w:u w:val="single"/>
        </w:rPr>
      </w:pPr>
    </w:p>
    <w:p w14:paraId="513927B1" w14:textId="77777777" w:rsidR="00300E38" w:rsidRDefault="00300E38" w:rsidP="0096444F">
      <w:pPr>
        <w:spacing w:after="0" w:line="240" w:lineRule="auto"/>
        <w:jc w:val="center"/>
        <w:rPr>
          <w:rFonts w:ascii="Arial" w:hAnsi="Arial" w:cs="Arial"/>
          <w:b/>
          <w:u w:val="single"/>
        </w:rPr>
      </w:pPr>
    </w:p>
    <w:p w14:paraId="169DC725" w14:textId="2B114963"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2007</w:t>
      </w:r>
    </w:p>
    <w:p w14:paraId="3DED942F" w14:textId="77777777" w:rsidR="0096444F" w:rsidRPr="0096444F" w:rsidRDefault="0096444F" w:rsidP="0096444F">
      <w:pPr>
        <w:spacing w:after="0" w:line="240" w:lineRule="auto"/>
        <w:jc w:val="center"/>
        <w:rPr>
          <w:rFonts w:ascii="Arial" w:hAnsi="Arial" w:cs="Arial"/>
          <w:u w:val="single"/>
        </w:rPr>
      </w:pPr>
    </w:p>
    <w:p w14:paraId="5E5A9C53" w14:textId="77777777" w:rsidR="0096444F" w:rsidRPr="0096444F" w:rsidRDefault="00DF497D" w:rsidP="0096444F">
      <w:pPr>
        <w:spacing w:after="0" w:line="240" w:lineRule="auto"/>
        <w:rPr>
          <w:rFonts w:ascii="Arial" w:hAnsi="Arial" w:cs="Arial"/>
          <w:u w:val="single"/>
        </w:rPr>
      </w:pPr>
      <w:hyperlink r:id="rId23" w:history="1">
        <w:r w:rsidR="0096444F" w:rsidRPr="0096444F">
          <w:rPr>
            <w:rStyle w:val="Hyperlink"/>
            <w:rFonts w:ascii="Arial" w:hAnsi="Arial" w:cs="Arial"/>
            <w:b/>
          </w:rPr>
          <w:t>SF 554</w:t>
        </w:r>
      </w:hyperlink>
      <w:r w:rsidR="0096444F" w:rsidRPr="0096444F">
        <w:rPr>
          <w:rFonts w:ascii="Arial" w:hAnsi="Arial" w:cs="Arial"/>
        </w:rPr>
        <w:t xml:space="preserve">  - </w:t>
      </w:r>
      <w:r w:rsidR="0096444F" w:rsidRPr="0096444F">
        <w:rPr>
          <w:rFonts w:ascii="Arial" w:hAnsi="Arial" w:cs="Arial"/>
          <w:b/>
        </w:rPr>
        <w:t>State-Issued Video Franchises</w:t>
      </w:r>
      <w:r w:rsidR="0096444F" w:rsidRPr="0096444F">
        <w:rPr>
          <w:rFonts w:ascii="Arial" w:hAnsi="Arial" w:cs="Arial"/>
        </w:rPr>
        <w:t xml:space="preserve">. The legislation eliminated the ability of local franchising authorities to extract additional payments and concessions in return for granting a cable franchise.  Under this legislation, a video provider can utilize the current local franchising process or, upon expiration of their local franchise, opt-in to state-issued franchise.  New providers can choose either state or local franchise. </w:t>
      </w:r>
    </w:p>
    <w:p w14:paraId="552C0068" w14:textId="77777777" w:rsidR="0096444F" w:rsidRPr="0096444F" w:rsidRDefault="0096444F" w:rsidP="0096444F">
      <w:pPr>
        <w:spacing w:after="0" w:line="240" w:lineRule="auto"/>
        <w:rPr>
          <w:rFonts w:ascii="Arial" w:hAnsi="Arial" w:cs="Arial"/>
        </w:rPr>
      </w:pPr>
    </w:p>
    <w:p w14:paraId="08B2B61C" w14:textId="77777777"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2006</w:t>
      </w:r>
    </w:p>
    <w:p w14:paraId="4B0105BF" w14:textId="77777777" w:rsidR="0096444F" w:rsidRPr="0096444F" w:rsidRDefault="0096444F" w:rsidP="0096444F">
      <w:pPr>
        <w:spacing w:after="0" w:line="240" w:lineRule="auto"/>
        <w:jc w:val="center"/>
        <w:rPr>
          <w:rFonts w:ascii="Arial" w:hAnsi="Arial" w:cs="Arial"/>
        </w:rPr>
      </w:pPr>
    </w:p>
    <w:p w14:paraId="0146455C" w14:textId="77777777" w:rsidR="0096444F" w:rsidRPr="0096444F" w:rsidRDefault="00DF497D" w:rsidP="0096444F">
      <w:pPr>
        <w:spacing w:after="0" w:line="240" w:lineRule="auto"/>
        <w:rPr>
          <w:rFonts w:ascii="Arial" w:hAnsi="Arial" w:cs="Arial"/>
          <w:bCs/>
        </w:rPr>
      </w:pPr>
      <w:hyperlink r:id="rId24" w:history="1">
        <w:r w:rsidR="0096444F" w:rsidRPr="0096444F">
          <w:rPr>
            <w:rStyle w:val="Hyperlink"/>
            <w:rFonts w:ascii="Arial" w:hAnsi="Arial" w:cs="Arial"/>
            <w:b/>
          </w:rPr>
          <w:t>SF 2390</w:t>
        </w:r>
      </w:hyperlink>
      <w:r w:rsidR="0096444F" w:rsidRPr="0096444F">
        <w:rPr>
          <w:rFonts w:ascii="Arial" w:hAnsi="Arial" w:cs="Arial"/>
        </w:rPr>
        <w:t xml:space="preserve">  -  </w:t>
      </w:r>
      <w:r w:rsidR="0096444F" w:rsidRPr="0096444F">
        <w:rPr>
          <w:rFonts w:ascii="Arial" w:hAnsi="Arial" w:cs="Arial"/>
          <w:b/>
        </w:rPr>
        <w:t xml:space="preserve">Machinery and Equipment Tax Exemption for Telco Providers.   </w:t>
      </w:r>
      <w:r w:rsidR="0096444F" w:rsidRPr="0096444F">
        <w:rPr>
          <w:rFonts w:ascii="Arial" w:hAnsi="Arial" w:cs="Arial"/>
          <w:bCs/>
        </w:rPr>
        <w:t xml:space="preserve">After years of pushing for this, the industry scored a victory by finally getting an exemption for </w:t>
      </w:r>
      <w:r w:rsidR="0096444F" w:rsidRPr="0096444F">
        <w:rPr>
          <w:rFonts w:ascii="Arial" w:hAnsi="Arial" w:cs="Arial"/>
        </w:rPr>
        <w:t xml:space="preserve">central office equipment and transmission equipment from the machinery and equipment sales tax with a seven-year phase-out of the tax through refunds.  Alliance member companies benefit from this exemption as it allows providers to purchase equipment faster and with greater frequency which opens the door to better service for consumers. </w:t>
      </w:r>
    </w:p>
    <w:p w14:paraId="3E36C385" w14:textId="77777777" w:rsidR="0096444F" w:rsidRPr="0096444F" w:rsidRDefault="0096444F" w:rsidP="0096444F">
      <w:pPr>
        <w:spacing w:after="0" w:line="240" w:lineRule="auto"/>
        <w:jc w:val="center"/>
        <w:rPr>
          <w:rFonts w:ascii="Arial" w:hAnsi="Arial" w:cs="Arial"/>
          <w:b/>
          <w:u w:val="single"/>
        </w:rPr>
      </w:pPr>
    </w:p>
    <w:p w14:paraId="55F7AD17" w14:textId="77777777"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2005</w:t>
      </w:r>
    </w:p>
    <w:p w14:paraId="19B83B27" w14:textId="77777777" w:rsidR="0096444F" w:rsidRPr="0096444F" w:rsidRDefault="0096444F" w:rsidP="0096444F">
      <w:pPr>
        <w:spacing w:after="0" w:line="240" w:lineRule="auto"/>
        <w:jc w:val="center"/>
        <w:rPr>
          <w:rFonts w:ascii="Arial" w:hAnsi="Arial" w:cs="Arial"/>
          <w:u w:val="single"/>
        </w:rPr>
      </w:pPr>
    </w:p>
    <w:p w14:paraId="4BC1FAF1" w14:textId="77777777" w:rsidR="0096444F" w:rsidRPr="0096444F" w:rsidRDefault="00DF497D" w:rsidP="0096444F">
      <w:pPr>
        <w:spacing w:after="0" w:line="240" w:lineRule="auto"/>
        <w:rPr>
          <w:rFonts w:ascii="Arial" w:hAnsi="Arial" w:cs="Arial"/>
        </w:rPr>
      </w:pPr>
      <w:hyperlink r:id="rId25" w:history="1">
        <w:r w:rsidR="0096444F" w:rsidRPr="0096444F">
          <w:rPr>
            <w:rStyle w:val="Hyperlink"/>
            <w:rFonts w:ascii="Arial" w:hAnsi="Arial" w:cs="Arial"/>
            <w:b/>
          </w:rPr>
          <w:t>SF 264</w:t>
        </w:r>
      </w:hyperlink>
      <w:r w:rsidR="0096444F" w:rsidRPr="0096444F">
        <w:rPr>
          <w:rFonts w:ascii="Arial" w:hAnsi="Arial" w:cs="Arial"/>
        </w:rPr>
        <w:t xml:space="preserve">  - </w:t>
      </w:r>
      <w:r w:rsidR="0096444F" w:rsidRPr="0096444F">
        <w:rPr>
          <w:rFonts w:ascii="Arial" w:eastAsia="Times New Roman" w:hAnsi="Arial" w:cs="Arial"/>
        </w:rPr>
        <w:t xml:space="preserve"> </w:t>
      </w:r>
      <w:r w:rsidR="0096444F" w:rsidRPr="0096444F">
        <w:rPr>
          <w:rFonts w:ascii="Arial" w:hAnsi="Arial" w:cs="Arial"/>
          <w:b/>
        </w:rPr>
        <w:t xml:space="preserve">Dual-Party Relay. </w:t>
      </w:r>
      <w:r w:rsidR="0096444F" w:rsidRPr="0096444F">
        <w:rPr>
          <w:rFonts w:ascii="Arial" w:hAnsi="Arial" w:cs="Arial"/>
        </w:rPr>
        <w:t xml:space="preserve"> Included wireless carriers in the assessment for the Dual-Party Relay program, at three cents per subscriber line per month. Again, this development was another </w:t>
      </w:r>
      <w:r w:rsidR="0096444F" w:rsidRPr="0096444F">
        <w:rPr>
          <w:rFonts w:ascii="Arial" w:hAnsi="Arial" w:cs="Arial"/>
        </w:rPr>
        <w:lastRenderedPageBreak/>
        <w:t xml:space="preserve">push towards communications industry parity where all providers of the same service should all play by the same rules including fees.  </w:t>
      </w:r>
    </w:p>
    <w:p w14:paraId="6BC4DD18" w14:textId="77777777" w:rsidR="0096444F" w:rsidRPr="0096444F" w:rsidRDefault="0096444F" w:rsidP="0096444F">
      <w:pPr>
        <w:spacing w:after="0" w:line="240" w:lineRule="auto"/>
        <w:rPr>
          <w:rFonts w:ascii="Arial" w:hAnsi="Arial" w:cs="Arial"/>
        </w:rPr>
      </w:pPr>
    </w:p>
    <w:p w14:paraId="7A62D0FC" w14:textId="77777777" w:rsidR="0096444F" w:rsidRPr="0096444F" w:rsidRDefault="00DF497D" w:rsidP="0096444F">
      <w:pPr>
        <w:spacing w:after="0" w:line="240" w:lineRule="auto"/>
        <w:rPr>
          <w:rFonts w:ascii="Arial" w:hAnsi="Arial" w:cs="Arial"/>
        </w:rPr>
      </w:pPr>
      <w:hyperlink r:id="rId26" w:history="1">
        <w:r w:rsidR="0096444F" w:rsidRPr="0096444F">
          <w:rPr>
            <w:rStyle w:val="Hyperlink"/>
            <w:rFonts w:ascii="Arial" w:hAnsi="Arial" w:cs="Arial"/>
            <w:b/>
          </w:rPr>
          <w:t>HF 277</w:t>
        </w:r>
      </w:hyperlink>
      <w:r w:rsidR="0096444F" w:rsidRPr="0096444F">
        <w:rPr>
          <w:rFonts w:ascii="Arial" w:hAnsi="Arial" w:cs="Arial"/>
        </w:rPr>
        <w:t xml:space="preserve"> – </w:t>
      </w:r>
      <w:r w:rsidR="0096444F" w:rsidRPr="0096444F">
        <w:rPr>
          <w:rFonts w:ascii="Arial" w:hAnsi="Arial" w:cs="Arial"/>
          <w:b/>
        </w:rPr>
        <w:t>Retail Services Deregulation.</w:t>
      </w:r>
      <w:r w:rsidR="0096444F" w:rsidRPr="0096444F">
        <w:rPr>
          <w:rFonts w:ascii="Arial" w:hAnsi="Arial" w:cs="Arial"/>
        </w:rPr>
        <w:t xml:space="preserve">  The legislation provided for deregulation of all retail service rates with the exception of basic service rates for residential (a cap $19 per month) and business lines (a cap of $38).  Required any price cap carrier that wanted to raise residential rates by more than $1 in any 12-month period or business rates by more than $2 in any 12-month period to install broadband in every exchange within 18 months.  Basic residential and business service was fully rate deregulated on July 1, 2008 and provided predatory pricing language for consumers.</w:t>
      </w:r>
    </w:p>
    <w:p w14:paraId="3BF849B6" w14:textId="77777777" w:rsidR="0096444F" w:rsidRPr="0096444F" w:rsidRDefault="0096444F" w:rsidP="0096444F">
      <w:pPr>
        <w:spacing w:after="0" w:line="240" w:lineRule="auto"/>
        <w:jc w:val="center"/>
        <w:rPr>
          <w:rFonts w:ascii="Arial" w:hAnsi="Arial" w:cs="Arial"/>
          <w:b/>
          <w:u w:val="single"/>
        </w:rPr>
      </w:pPr>
    </w:p>
    <w:p w14:paraId="450A8125" w14:textId="77777777"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2004</w:t>
      </w:r>
    </w:p>
    <w:p w14:paraId="3F094D12" w14:textId="77777777" w:rsidR="0096444F" w:rsidRPr="0096444F" w:rsidRDefault="0096444F" w:rsidP="0096444F">
      <w:pPr>
        <w:spacing w:after="0" w:line="240" w:lineRule="auto"/>
        <w:jc w:val="center"/>
        <w:rPr>
          <w:rFonts w:ascii="Arial" w:hAnsi="Arial" w:cs="Arial"/>
          <w:u w:val="single"/>
        </w:rPr>
      </w:pPr>
    </w:p>
    <w:p w14:paraId="62DE8334" w14:textId="77777777" w:rsidR="0096444F" w:rsidRPr="0096444F" w:rsidRDefault="00DF497D" w:rsidP="0096444F">
      <w:pPr>
        <w:spacing w:after="0" w:line="240" w:lineRule="auto"/>
        <w:rPr>
          <w:rFonts w:ascii="Arial" w:hAnsi="Arial" w:cs="Arial"/>
        </w:rPr>
      </w:pPr>
      <w:hyperlink r:id="rId27" w:history="1">
        <w:r w:rsidR="0096444F" w:rsidRPr="0096444F">
          <w:rPr>
            <w:rStyle w:val="Hyperlink"/>
            <w:rFonts w:ascii="Arial" w:hAnsi="Arial" w:cs="Arial"/>
            <w:b/>
          </w:rPr>
          <w:t>SF 2187</w:t>
        </w:r>
      </w:hyperlink>
      <w:r w:rsidR="0096444F" w:rsidRPr="0096444F">
        <w:rPr>
          <w:rFonts w:ascii="Arial" w:hAnsi="Arial" w:cs="Arial"/>
        </w:rPr>
        <w:t xml:space="preserve">  - </w:t>
      </w:r>
      <w:r w:rsidR="0096444F" w:rsidRPr="0096444F">
        <w:rPr>
          <w:rFonts w:ascii="Arial" w:eastAsia="Times New Roman" w:hAnsi="Arial" w:cs="Arial"/>
        </w:rPr>
        <w:t xml:space="preserve"> </w:t>
      </w:r>
      <w:r w:rsidR="0096444F" w:rsidRPr="0096444F">
        <w:rPr>
          <w:rFonts w:ascii="Arial" w:eastAsia="Times New Roman" w:hAnsi="Arial" w:cs="Arial"/>
          <w:b/>
        </w:rPr>
        <w:t>Municipal Telecommunications Subject to Open Records.</w:t>
      </w:r>
      <w:r w:rsidR="0096444F" w:rsidRPr="0096444F">
        <w:rPr>
          <w:rFonts w:ascii="Arial" w:eastAsia="Times New Roman" w:hAnsi="Arial" w:cs="Arial"/>
        </w:rPr>
        <w:t xml:space="preserve"> L</w:t>
      </w:r>
      <w:r w:rsidR="0096444F" w:rsidRPr="0096444F">
        <w:rPr>
          <w:rFonts w:ascii="Arial" w:hAnsi="Arial" w:cs="Arial"/>
        </w:rPr>
        <w:t xml:space="preserve">egislation making municipal telephone’s cost accounting records subject to open records laws.  This bill required annual audits and made the report subject to open records laws.  This also made municipal telephones subject to paying sales and use tax on the purchases of telecommunications equipment. The Alliance supports transparency and the association fought hard to make sure that taxpayers funded providers be held accountable by the public through disclosure of information through open records.  </w:t>
      </w:r>
    </w:p>
    <w:p w14:paraId="0D5C4FAA" w14:textId="77777777" w:rsidR="0096444F" w:rsidRPr="0096444F" w:rsidRDefault="0096444F" w:rsidP="0096444F">
      <w:pPr>
        <w:spacing w:after="0" w:line="240" w:lineRule="auto"/>
        <w:rPr>
          <w:rStyle w:val="Hyperlink"/>
          <w:rFonts w:ascii="Arial" w:hAnsi="Arial" w:cs="Arial"/>
        </w:rPr>
      </w:pPr>
    </w:p>
    <w:p w14:paraId="2968E435" w14:textId="77777777" w:rsidR="0096444F" w:rsidRPr="0096444F" w:rsidRDefault="00DF497D" w:rsidP="0096444F">
      <w:pPr>
        <w:spacing w:after="0" w:line="240" w:lineRule="auto"/>
        <w:rPr>
          <w:rFonts w:ascii="Arial" w:hAnsi="Arial" w:cs="Arial"/>
        </w:rPr>
      </w:pPr>
      <w:hyperlink r:id="rId28" w:history="1">
        <w:r w:rsidR="0096444F" w:rsidRPr="0096444F">
          <w:rPr>
            <w:rStyle w:val="Hyperlink"/>
            <w:rFonts w:ascii="Arial" w:hAnsi="Arial" w:cs="Arial"/>
            <w:b/>
          </w:rPr>
          <w:t>SF 2298</w:t>
        </w:r>
      </w:hyperlink>
      <w:r w:rsidR="0096444F" w:rsidRPr="0096444F">
        <w:rPr>
          <w:rFonts w:ascii="Arial" w:hAnsi="Arial" w:cs="Arial"/>
        </w:rPr>
        <w:t xml:space="preserve"> – </w:t>
      </w:r>
      <w:r w:rsidR="0096444F" w:rsidRPr="0096444F">
        <w:rPr>
          <w:rFonts w:ascii="Arial" w:hAnsi="Arial" w:cs="Arial"/>
          <w:b/>
        </w:rPr>
        <w:t>Wireless E911 Surcharge.</w:t>
      </w:r>
      <w:r w:rsidR="0096444F" w:rsidRPr="0096444F">
        <w:rPr>
          <w:rFonts w:ascii="Arial" w:hAnsi="Arial" w:cs="Arial"/>
        </w:rPr>
        <w:t xml:space="preserve"> The E911 wireless surcharge increased from 50 to 65 cents per customer line via this legislation.  This bill placed wireline providers third to receive payment from the wireless surcharge fund and made provisions to pay off the debt owed to the wireline providers. This significant victory also was another step towards total parity between wireline and wireless service.     </w:t>
      </w:r>
    </w:p>
    <w:p w14:paraId="3807889E" w14:textId="77777777" w:rsidR="0096444F" w:rsidRPr="0096444F" w:rsidRDefault="0096444F" w:rsidP="0096444F">
      <w:pPr>
        <w:spacing w:after="0" w:line="240" w:lineRule="auto"/>
        <w:jc w:val="center"/>
        <w:rPr>
          <w:rFonts w:ascii="Arial" w:hAnsi="Arial" w:cs="Arial"/>
          <w:b/>
          <w:u w:val="single"/>
        </w:rPr>
      </w:pPr>
    </w:p>
    <w:p w14:paraId="1410D431" w14:textId="77777777" w:rsidR="0096444F" w:rsidRPr="0096444F" w:rsidRDefault="0096444F" w:rsidP="0096444F">
      <w:pPr>
        <w:spacing w:after="0" w:line="240" w:lineRule="auto"/>
        <w:jc w:val="center"/>
        <w:rPr>
          <w:rFonts w:ascii="Arial" w:hAnsi="Arial" w:cs="Arial"/>
          <w:b/>
          <w:u w:val="single"/>
        </w:rPr>
      </w:pPr>
      <w:r w:rsidRPr="0096444F">
        <w:rPr>
          <w:rFonts w:ascii="Arial" w:hAnsi="Arial" w:cs="Arial"/>
          <w:b/>
          <w:u w:val="single"/>
        </w:rPr>
        <w:t>2003</w:t>
      </w:r>
    </w:p>
    <w:p w14:paraId="64A91784" w14:textId="77777777" w:rsidR="0096444F" w:rsidRPr="0096444F" w:rsidRDefault="0096444F" w:rsidP="0096444F">
      <w:pPr>
        <w:spacing w:after="0" w:line="240" w:lineRule="auto"/>
        <w:jc w:val="center"/>
        <w:rPr>
          <w:rFonts w:ascii="Arial" w:hAnsi="Arial" w:cs="Arial"/>
          <w:u w:val="single"/>
        </w:rPr>
      </w:pPr>
    </w:p>
    <w:p w14:paraId="45F81A3D" w14:textId="77777777" w:rsidR="0096444F" w:rsidRPr="0096444F" w:rsidRDefault="00DF497D" w:rsidP="0096444F">
      <w:pPr>
        <w:spacing w:after="0" w:line="240" w:lineRule="auto"/>
        <w:rPr>
          <w:rFonts w:ascii="Arial" w:hAnsi="Arial" w:cs="Arial"/>
        </w:rPr>
      </w:pPr>
      <w:hyperlink r:id="rId29" w:history="1">
        <w:r w:rsidR="0096444F" w:rsidRPr="0096444F">
          <w:rPr>
            <w:rStyle w:val="Hyperlink"/>
            <w:rFonts w:ascii="Arial" w:hAnsi="Arial" w:cs="Arial"/>
            <w:b/>
          </w:rPr>
          <w:t>SF 368</w:t>
        </w:r>
      </w:hyperlink>
      <w:r w:rsidR="0096444F" w:rsidRPr="0096444F">
        <w:rPr>
          <w:rFonts w:ascii="Arial" w:hAnsi="Arial" w:cs="Arial"/>
        </w:rPr>
        <w:t xml:space="preserve">  -- </w:t>
      </w:r>
      <w:r w:rsidR="0096444F" w:rsidRPr="0096444F">
        <w:rPr>
          <w:rFonts w:ascii="Arial" w:hAnsi="Arial" w:cs="Arial"/>
          <w:b/>
        </w:rPr>
        <w:t>Broadband Investment.</w:t>
      </w:r>
      <w:r w:rsidR="0096444F" w:rsidRPr="0096444F">
        <w:rPr>
          <w:rFonts w:ascii="Arial" w:hAnsi="Arial" w:cs="Arial"/>
        </w:rPr>
        <w:t xml:space="preserve">  A bill that allowed for rate-regulated telecommunications companies to increase rates up to $2 per month and invest the proceeds in broadband deployment.  The bill created “TEC towns” to recognize technology-enabled communities who have achieved a high level of deployment of advanced telecommunications services.   </w:t>
      </w:r>
    </w:p>
    <w:p w14:paraId="5A137697" w14:textId="77777777" w:rsidR="0096444F" w:rsidRPr="0096444F" w:rsidRDefault="0096444F" w:rsidP="0096444F">
      <w:pPr>
        <w:spacing w:after="0" w:line="240" w:lineRule="auto"/>
        <w:rPr>
          <w:rFonts w:ascii="Arial" w:hAnsi="Arial" w:cs="Arial"/>
        </w:rPr>
      </w:pPr>
    </w:p>
    <w:p w14:paraId="37B9764B" w14:textId="1AE33D2A" w:rsidR="0096444F" w:rsidRDefault="00DF497D" w:rsidP="0096444F">
      <w:pPr>
        <w:spacing w:after="0" w:line="240" w:lineRule="auto"/>
        <w:rPr>
          <w:rFonts w:ascii="Arial" w:hAnsi="Arial" w:cs="Arial"/>
        </w:rPr>
      </w:pPr>
      <w:hyperlink r:id="rId30" w:history="1">
        <w:r w:rsidR="0096444F" w:rsidRPr="0096444F">
          <w:rPr>
            <w:rStyle w:val="Hyperlink"/>
            <w:rFonts w:ascii="Arial" w:hAnsi="Arial" w:cs="Arial"/>
            <w:b/>
          </w:rPr>
          <w:t>SF 458</w:t>
        </w:r>
      </w:hyperlink>
      <w:r w:rsidR="0096444F" w:rsidRPr="0096444F">
        <w:rPr>
          <w:rFonts w:ascii="Arial" w:hAnsi="Arial" w:cs="Arial"/>
        </w:rPr>
        <w:t xml:space="preserve"> -- </w:t>
      </w:r>
      <w:r w:rsidR="0096444F" w:rsidRPr="0096444F">
        <w:rPr>
          <w:rFonts w:ascii="Arial" w:hAnsi="Arial" w:cs="Arial"/>
          <w:b/>
        </w:rPr>
        <w:t>ICN Sale.</w:t>
      </w:r>
      <w:r w:rsidR="0096444F" w:rsidRPr="0096444F">
        <w:rPr>
          <w:rFonts w:ascii="Arial" w:hAnsi="Arial" w:cs="Arial"/>
        </w:rPr>
        <w:t xml:space="preserve"> The “standings bill” in 2003 featured a late amendment added requiring the State to sell the ICN to a “qualified private business enterprise” by Oct. 1, 2007. This was the first recognition by the Legislature that the ICN is a liability and not an asset for the taxpayers of Iowa since the entity’s creation in the 1980s. </w:t>
      </w:r>
    </w:p>
    <w:p w14:paraId="1AAE4269" w14:textId="2A367AEE" w:rsidR="00C24245" w:rsidRDefault="00C24245" w:rsidP="0096444F">
      <w:pPr>
        <w:spacing w:after="0" w:line="240" w:lineRule="auto"/>
        <w:rPr>
          <w:rFonts w:ascii="Arial" w:hAnsi="Arial" w:cs="Arial"/>
        </w:rPr>
      </w:pPr>
    </w:p>
    <w:p w14:paraId="55B4F96D" w14:textId="60C57BB1" w:rsidR="00C24245" w:rsidRDefault="00C24245" w:rsidP="00C24245">
      <w:pPr>
        <w:spacing w:after="0" w:line="240" w:lineRule="auto"/>
        <w:jc w:val="center"/>
        <w:rPr>
          <w:rFonts w:ascii="Arial" w:hAnsi="Arial" w:cs="Arial"/>
          <w:sz w:val="24"/>
          <w:szCs w:val="24"/>
          <w:u w:val="single"/>
        </w:rPr>
      </w:pPr>
      <w:r w:rsidRPr="00820362">
        <w:rPr>
          <w:rFonts w:ascii="Arial" w:hAnsi="Arial" w:cs="Arial"/>
          <w:b/>
          <w:sz w:val="24"/>
          <w:szCs w:val="24"/>
          <w:u w:val="single"/>
        </w:rPr>
        <w:t>2002</w:t>
      </w:r>
      <w:r w:rsidRPr="00820362">
        <w:rPr>
          <w:rFonts w:ascii="Arial" w:hAnsi="Arial" w:cs="Arial"/>
          <w:sz w:val="24"/>
          <w:szCs w:val="24"/>
          <w:u w:val="single"/>
        </w:rPr>
        <w:t xml:space="preserve"> </w:t>
      </w:r>
    </w:p>
    <w:p w14:paraId="132716EF" w14:textId="77777777" w:rsidR="00C24245" w:rsidRPr="00820362" w:rsidRDefault="00C24245" w:rsidP="00C24245">
      <w:pPr>
        <w:spacing w:after="0" w:line="240" w:lineRule="auto"/>
        <w:jc w:val="center"/>
        <w:rPr>
          <w:rFonts w:ascii="Arial" w:hAnsi="Arial" w:cs="Arial"/>
          <w:sz w:val="24"/>
          <w:szCs w:val="24"/>
          <w:u w:val="single"/>
        </w:rPr>
      </w:pPr>
    </w:p>
    <w:p w14:paraId="648ED419" w14:textId="5E20CF3C" w:rsidR="00C24245" w:rsidRPr="00C24245" w:rsidRDefault="00DF497D" w:rsidP="00C24245">
      <w:pPr>
        <w:spacing w:after="0" w:line="240" w:lineRule="auto"/>
        <w:rPr>
          <w:rFonts w:ascii="Arial" w:hAnsi="Arial" w:cs="Arial"/>
        </w:rPr>
      </w:pPr>
      <w:hyperlink r:id="rId31" w:history="1">
        <w:r w:rsidR="00C24245" w:rsidRPr="00C24245">
          <w:rPr>
            <w:rStyle w:val="Hyperlink"/>
            <w:rFonts w:ascii="Arial" w:hAnsi="Arial" w:cs="Arial"/>
            <w:b/>
            <w:bCs/>
          </w:rPr>
          <w:t>SF 515</w:t>
        </w:r>
      </w:hyperlink>
      <w:r w:rsidR="00C24245" w:rsidRPr="00C24245">
        <w:rPr>
          <w:rFonts w:ascii="Arial" w:hAnsi="Arial" w:cs="Arial"/>
        </w:rPr>
        <w:t xml:space="preserve"> -- </w:t>
      </w:r>
      <w:r w:rsidR="00C24245" w:rsidRPr="00C24245">
        <w:rPr>
          <w:rFonts w:ascii="Arial" w:hAnsi="Arial" w:cs="Arial"/>
          <w:b/>
        </w:rPr>
        <w:t xml:space="preserve">Railroad Right-of Way </w:t>
      </w:r>
      <w:r w:rsidR="00C24245">
        <w:rPr>
          <w:rFonts w:ascii="Arial" w:hAnsi="Arial" w:cs="Arial"/>
          <w:b/>
        </w:rPr>
        <w:t xml:space="preserve">Fee Limitation and Permit </w:t>
      </w:r>
      <w:r w:rsidR="00C24245" w:rsidRPr="00C24245">
        <w:rPr>
          <w:rFonts w:ascii="Arial" w:hAnsi="Arial" w:cs="Arial"/>
          <w:b/>
        </w:rPr>
        <w:t xml:space="preserve">Modernization.  </w:t>
      </w:r>
      <w:r w:rsidR="00C24245" w:rsidRPr="00C24245">
        <w:rPr>
          <w:rFonts w:ascii="Arial" w:hAnsi="Arial" w:cs="Arial"/>
        </w:rPr>
        <w:t xml:space="preserve">This legislation </w:t>
      </w:r>
      <w:r w:rsidR="00C24245">
        <w:rPr>
          <w:rFonts w:ascii="Arial" w:hAnsi="Arial" w:cs="Arial"/>
        </w:rPr>
        <w:t xml:space="preserve">clarified the rights of utilities to cross railroad rights of ways, </w:t>
      </w:r>
      <w:r w:rsidR="00C24245" w:rsidRPr="00C24245">
        <w:rPr>
          <w:rFonts w:ascii="Arial" w:hAnsi="Arial" w:cs="Arial"/>
        </w:rPr>
        <w:t xml:space="preserve">including exercise of the power of eminent domain, special circumstances for relief and emergency relief pertaining to the “authority </w:t>
      </w:r>
      <w:r w:rsidR="00C24245" w:rsidRPr="00C24245">
        <w:rPr>
          <w:rFonts w:ascii="Arial" w:hAnsi="Arial" w:cs="Arial"/>
        </w:rPr>
        <w:lastRenderedPageBreak/>
        <w:t>to cross” which eased tensions among the industry and railroad landowners and eliminated most of the disputes over railroad crossings over the last decade.</w:t>
      </w:r>
    </w:p>
    <w:sectPr w:rsidR="00C24245" w:rsidRPr="00C24245" w:rsidSect="00C46EA4">
      <w:headerReference w:type="default" r:id="rId32"/>
      <w:footerReference w:type="default" r:id="rId33"/>
      <w:pgSz w:w="12240" w:h="15840"/>
      <w:pgMar w:top="1620" w:right="1296" w:bottom="1620" w:left="1296"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A488A" w14:textId="77777777" w:rsidR="00DF497D" w:rsidRDefault="00DF497D" w:rsidP="009E7749">
      <w:pPr>
        <w:spacing w:after="0" w:line="240" w:lineRule="auto"/>
      </w:pPr>
      <w:r>
        <w:separator/>
      </w:r>
    </w:p>
  </w:endnote>
  <w:endnote w:type="continuationSeparator" w:id="0">
    <w:p w14:paraId="7FD2AECE" w14:textId="77777777" w:rsidR="00DF497D" w:rsidRDefault="00DF497D" w:rsidP="009E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273924"/>
      <w:docPartObj>
        <w:docPartGallery w:val="Page Numbers (Bottom of Page)"/>
        <w:docPartUnique/>
      </w:docPartObj>
    </w:sdtPr>
    <w:sdtEndPr>
      <w:rPr>
        <w:color w:val="7F7F7F" w:themeColor="background1" w:themeShade="7F"/>
        <w:spacing w:val="60"/>
      </w:rPr>
    </w:sdtEndPr>
    <w:sdtContent>
      <w:p w14:paraId="15006A8B" w14:textId="2385535A" w:rsidR="009E7749" w:rsidRDefault="009E7749" w:rsidP="009E7749">
        <w:pPr>
          <w:pStyle w:val="Footer"/>
        </w:pPr>
        <w:r>
          <w:fldChar w:fldCharType="begin"/>
        </w:r>
        <w:r>
          <w:instrText xml:space="preserve"> PAGE   \* MERGEFORMAT </w:instrText>
        </w:r>
        <w:r>
          <w:fldChar w:fldCharType="separate"/>
        </w:r>
        <w:r w:rsidR="008D4590" w:rsidRPr="008D4590">
          <w:rPr>
            <w:b/>
            <w:bCs/>
            <w:noProof/>
          </w:rPr>
          <w:t>4</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tab/>
          <w:t xml:space="preserve">Historical Legislative Victories </w:t>
        </w:r>
      </w:p>
      <w:p w14:paraId="4C04240C" w14:textId="77777777" w:rsidR="009E7749" w:rsidRDefault="00DF497D">
        <w:pPr>
          <w:pStyle w:val="Footer"/>
          <w:pBdr>
            <w:top w:val="single" w:sz="4" w:space="1" w:color="D9D9D9" w:themeColor="background1" w:themeShade="D9"/>
          </w:pBdr>
          <w:rPr>
            <w:b/>
            <w:bCs/>
          </w:rPr>
        </w:pPr>
      </w:p>
    </w:sdtContent>
  </w:sdt>
  <w:p w14:paraId="55E7BA1F" w14:textId="77777777" w:rsidR="009E7749" w:rsidRPr="009E7749" w:rsidRDefault="009E7749" w:rsidP="009E7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F1ACC" w14:textId="77777777" w:rsidR="00DF497D" w:rsidRDefault="00DF497D" w:rsidP="009E7749">
      <w:pPr>
        <w:spacing w:after="0" w:line="240" w:lineRule="auto"/>
      </w:pPr>
      <w:r>
        <w:separator/>
      </w:r>
    </w:p>
  </w:footnote>
  <w:footnote w:type="continuationSeparator" w:id="0">
    <w:p w14:paraId="5EB09DF3" w14:textId="77777777" w:rsidR="00DF497D" w:rsidRDefault="00DF497D" w:rsidP="009E7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370AA" w14:textId="6E8AD6BE" w:rsidR="009E7749" w:rsidRDefault="00383714" w:rsidP="009E7749">
    <w:pPr>
      <w:pStyle w:val="Header"/>
      <w:jc w:val="center"/>
    </w:pPr>
    <w:r>
      <w:rPr>
        <w:noProof/>
      </w:rPr>
      <w:drawing>
        <wp:inline distT="0" distB="0" distL="0" distR="0" wp14:anchorId="5DC19666" wp14:editId="72CBBD50">
          <wp:extent cx="1765300" cy="1339662"/>
          <wp:effectExtent l="0" t="0" r="635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A_Logo-Registered.jpg"/>
                  <pic:cNvPicPr/>
                </pic:nvPicPr>
                <pic:blipFill>
                  <a:blip r:embed="rId1">
                    <a:extLst>
                      <a:ext uri="{28A0092B-C50C-407E-A947-70E740481C1C}">
                        <a14:useLocalDpi xmlns:a14="http://schemas.microsoft.com/office/drawing/2010/main" val="0"/>
                      </a:ext>
                    </a:extLst>
                  </a:blip>
                  <a:stretch>
                    <a:fillRect/>
                  </a:stretch>
                </pic:blipFill>
                <pic:spPr>
                  <a:xfrm>
                    <a:off x="0" y="0"/>
                    <a:ext cx="1765530" cy="1339836"/>
                  </a:xfrm>
                  <a:prstGeom prst="rect">
                    <a:avLst/>
                  </a:prstGeom>
                </pic:spPr>
              </pic:pic>
            </a:graphicData>
          </a:graphic>
        </wp:inline>
      </w:drawing>
    </w:r>
  </w:p>
  <w:p w14:paraId="5F5D24A4" w14:textId="77777777" w:rsidR="00C46EA4" w:rsidRDefault="00C46EA4" w:rsidP="009E77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85730"/>
    <w:multiLevelType w:val="hybridMultilevel"/>
    <w:tmpl w:val="1B5C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C25ED"/>
    <w:multiLevelType w:val="multilevel"/>
    <w:tmpl w:val="4A3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A014A"/>
    <w:multiLevelType w:val="hybridMultilevel"/>
    <w:tmpl w:val="45960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E7443B"/>
    <w:multiLevelType w:val="multilevel"/>
    <w:tmpl w:val="8FCA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6A"/>
    <w:rsid w:val="0000045F"/>
    <w:rsid w:val="00032080"/>
    <w:rsid w:val="000566A1"/>
    <w:rsid w:val="000716C2"/>
    <w:rsid w:val="00097DB5"/>
    <w:rsid w:val="000E6316"/>
    <w:rsid w:val="00110C3A"/>
    <w:rsid w:val="00112B42"/>
    <w:rsid w:val="00116ADF"/>
    <w:rsid w:val="00142200"/>
    <w:rsid w:val="00142A4F"/>
    <w:rsid w:val="00186D76"/>
    <w:rsid w:val="001E3167"/>
    <w:rsid w:val="001F11A6"/>
    <w:rsid w:val="001F5A93"/>
    <w:rsid w:val="00234592"/>
    <w:rsid w:val="00263DAE"/>
    <w:rsid w:val="00290311"/>
    <w:rsid w:val="002A669B"/>
    <w:rsid w:val="002A6FE5"/>
    <w:rsid w:val="002B2C59"/>
    <w:rsid w:val="00300E38"/>
    <w:rsid w:val="00367C18"/>
    <w:rsid w:val="00383714"/>
    <w:rsid w:val="00391AC2"/>
    <w:rsid w:val="003A1A52"/>
    <w:rsid w:val="003A6048"/>
    <w:rsid w:val="003A7492"/>
    <w:rsid w:val="003D7D71"/>
    <w:rsid w:val="00416673"/>
    <w:rsid w:val="004460BC"/>
    <w:rsid w:val="00495D1C"/>
    <w:rsid w:val="004C0665"/>
    <w:rsid w:val="004D53FB"/>
    <w:rsid w:val="004F22A4"/>
    <w:rsid w:val="005437E4"/>
    <w:rsid w:val="00570FF1"/>
    <w:rsid w:val="005850C1"/>
    <w:rsid w:val="005962AA"/>
    <w:rsid w:val="005D28BC"/>
    <w:rsid w:val="00612115"/>
    <w:rsid w:val="006128F5"/>
    <w:rsid w:val="00642D2F"/>
    <w:rsid w:val="00654727"/>
    <w:rsid w:val="00666923"/>
    <w:rsid w:val="00696DBA"/>
    <w:rsid w:val="006B7D6A"/>
    <w:rsid w:val="006D6C8D"/>
    <w:rsid w:val="0074461F"/>
    <w:rsid w:val="0077423C"/>
    <w:rsid w:val="00790112"/>
    <w:rsid w:val="007B32A2"/>
    <w:rsid w:val="007D0A42"/>
    <w:rsid w:val="007D13ED"/>
    <w:rsid w:val="007F058B"/>
    <w:rsid w:val="00804397"/>
    <w:rsid w:val="00820362"/>
    <w:rsid w:val="0082629C"/>
    <w:rsid w:val="00833A77"/>
    <w:rsid w:val="0084706B"/>
    <w:rsid w:val="00857C96"/>
    <w:rsid w:val="00891F41"/>
    <w:rsid w:val="008C22F4"/>
    <w:rsid w:val="008D4590"/>
    <w:rsid w:val="008E517B"/>
    <w:rsid w:val="009000C9"/>
    <w:rsid w:val="0096444F"/>
    <w:rsid w:val="0098594D"/>
    <w:rsid w:val="009E7749"/>
    <w:rsid w:val="00A05699"/>
    <w:rsid w:val="00A4116A"/>
    <w:rsid w:val="00A83A05"/>
    <w:rsid w:val="00A969A7"/>
    <w:rsid w:val="00AC65A6"/>
    <w:rsid w:val="00AF09D5"/>
    <w:rsid w:val="00B672F6"/>
    <w:rsid w:val="00B77A0C"/>
    <w:rsid w:val="00B8062D"/>
    <w:rsid w:val="00B9092F"/>
    <w:rsid w:val="00BE5EA2"/>
    <w:rsid w:val="00C0000A"/>
    <w:rsid w:val="00C24245"/>
    <w:rsid w:val="00C42E3A"/>
    <w:rsid w:val="00C46EA4"/>
    <w:rsid w:val="00C544B7"/>
    <w:rsid w:val="00C74079"/>
    <w:rsid w:val="00C87AB1"/>
    <w:rsid w:val="00C94914"/>
    <w:rsid w:val="00CA39D5"/>
    <w:rsid w:val="00CC0914"/>
    <w:rsid w:val="00CF2B7E"/>
    <w:rsid w:val="00CF749B"/>
    <w:rsid w:val="00D00BCE"/>
    <w:rsid w:val="00D3194B"/>
    <w:rsid w:val="00D35B93"/>
    <w:rsid w:val="00D600FE"/>
    <w:rsid w:val="00DB3B2D"/>
    <w:rsid w:val="00DB6231"/>
    <w:rsid w:val="00DD17C7"/>
    <w:rsid w:val="00DD5EED"/>
    <w:rsid w:val="00DF497D"/>
    <w:rsid w:val="00E06CCD"/>
    <w:rsid w:val="00E27E6C"/>
    <w:rsid w:val="00E32F01"/>
    <w:rsid w:val="00E33C27"/>
    <w:rsid w:val="00E653C4"/>
    <w:rsid w:val="00EB638D"/>
    <w:rsid w:val="00EC04C7"/>
    <w:rsid w:val="00EE7C3E"/>
    <w:rsid w:val="00F0793D"/>
    <w:rsid w:val="00F30F4E"/>
    <w:rsid w:val="00F60A4A"/>
    <w:rsid w:val="00F85E62"/>
    <w:rsid w:val="00F9328C"/>
    <w:rsid w:val="00F9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812C4"/>
  <w15:docId w15:val="{9E7389B2-938E-4F63-8C36-24BF3CCC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D6A"/>
    <w:rPr>
      <w:color w:val="0000FF" w:themeColor="hyperlink"/>
      <w:u w:val="single"/>
    </w:rPr>
  </w:style>
  <w:style w:type="paragraph" w:styleId="HTMLPreformatted">
    <w:name w:val="HTML Preformatted"/>
    <w:basedOn w:val="Normal"/>
    <w:link w:val="HTMLPreformattedChar"/>
    <w:uiPriority w:val="99"/>
    <w:semiHidden/>
    <w:unhideWhenUsed/>
    <w:rsid w:val="00CC091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C0914"/>
    <w:rPr>
      <w:rFonts w:ascii="Consolas" w:hAnsi="Consolas" w:cs="Consolas"/>
      <w:sz w:val="20"/>
      <w:szCs w:val="20"/>
    </w:rPr>
  </w:style>
  <w:style w:type="paragraph" w:styleId="BalloonText">
    <w:name w:val="Balloon Text"/>
    <w:basedOn w:val="Normal"/>
    <w:link w:val="BalloonTextChar"/>
    <w:uiPriority w:val="99"/>
    <w:semiHidden/>
    <w:unhideWhenUsed/>
    <w:rsid w:val="00804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397"/>
    <w:rPr>
      <w:rFonts w:ascii="Segoe UI" w:hAnsi="Segoe UI" w:cs="Segoe UI"/>
      <w:sz w:val="18"/>
      <w:szCs w:val="18"/>
    </w:rPr>
  </w:style>
  <w:style w:type="character" w:styleId="CommentReference">
    <w:name w:val="annotation reference"/>
    <w:basedOn w:val="DefaultParagraphFont"/>
    <w:uiPriority w:val="99"/>
    <w:semiHidden/>
    <w:unhideWhenUsed/>
    <w:rsid w:val="00E06CCD"/>
    <w:rPr>
      <w:sz w:val="16"/>
      <w:szCs w:val="16"/>
    </w:rPr>
  </w:style>
  <w:style w:type="paragraph" w:styleId="CommentText">
    <w:name w:val="annotation text"/>
    <w:basedOn w:val="Normal"/>
    <w:link w:val="CommentTextChar"/>
    <w:uiPriority w:val="99"/>
    <w:semiHidden/>
    <w:unhideWhenUsed/>
    <w:rsid w:val="00E06CCD"/>
    <w:pPr>
      <w:spacing w:line="240" w:lineRule="auto"/>
    </w:pPr>
    <w:rPr>
      <w:sz w:val="20"/>
      <w:szCs w:val="20"/>
    </w:rPr>
  </w:style>
  <w:style w:type="character" w:customStyle="1" w:styleId="CommentTextChar">
    <w:name w:val="Comment Text Char"/>
    <w:basedOn w:val="DefaultParagraphFont"/>
    <w:link w:val="CommentText"/>
    <w:uiPriority w:val="99"/>
    <w:semiHidden/>
    <w:rsid w:val="00E06CCD"/>
    <w:rPr>
      <w:sz w:val="20"/>
      <w:szCs w:val="20"/>
    </w:rPr>
  </w:style>
  <w:style w:type="paragraph" w:styleId="CommentSubject">
    <w:name w:val="annotation subject"/>
    <w:basedOn w:val="CommentText"/>
    <w:next w:val="CommentText"/>
    <w:link w:val="CommentSubjectChar"/>
    <w:uiPriority w:val="99"/>
    <w:semiHidden/>
    <w:unhideWhenUsed/>
    <w:rsid w:val="00E06CCD"/>
    <w:rPr>
      <w:b/>
      <w:bCs/>
    </w:rPr>
  </w:style>
  <w:style w:type="character" w:customStyle="1" w:styleId="CommentSubjectChar">
    <w:name w:val="Comment Subject Char"/>
    <w:basedOn w:val="CommentTextChar"/>
    <w:link w:val="CommentSubject"/>
    <w:uiPriority w:val="99"/>
    <w:semiHidden/>
    <w:rsid w:val="00E06CCD"/>
    <w:rPr>
      <w:b/>
      <w:bCs/>
      <w:sz w:val="20"/>
      <w:szCs w:val="20"/>
    </w:rPr>
  </w:style>
  <w:style w:type="character" w:styleId="FollowedHyperlink">
    <w:name w:val="FollowedHyperlink"/>
    <w:basedOn w:val="DefaultParagraphFont"/>
    <w:uiPriority w:val="99"/>
    <w:semiHidden/>
    <w:unhideWhenUsed/>
    <w:rsid w:val="00891F41"/>
    <w:rPr>
      <w:color w:val="800080" w:themeColor="followedHyperlink"/>
      <w:u w:val="single"/>
    </w:rPr>
  </w:style>
  <w:style w:type="paragraph" w:styleId="Header">
    <w:name w:val="header"/>
    <w:basedOn w:val="Normal"/>
    <w:link w:val="HeaderChar"/>
    <w:uiPriority w:val="99"/>
    <w:unhideWhenUsed/>
    <w:rsid w:val="009E7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749"/>
  </w:style>
  <w:style w:type="paragraph" w:styleId="Footer">
    <w:name w:val="footer"/>
    <w:basedOn w:val="Normal"/>
    <w:link w:val="FooterChar"/>
    <w:uiPriority w:val="99"/>
    <w:unhideWhenUsed/>
    <w:rsid w:val="009E7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749"/>
  </w:style>
  <w:style w:type="paragraph" w:customStyle="1" w:styleId="Default">
    <w:name w:val="Default"/>
    <w:rsid w:val="00E33C27"/>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820362"/>
    <w:pPr>
      <w:ind w:left="720"/>
      <w:contextualSpacing/>
    </w:pPr>
  </w:style>
  <w:style w:type="character" w:styleId="UnresolvedMention">
    <w:name w:val="Unresolved Mention"/>
    <w:basedOn w:val="DefaultParagraphFont"/>
    <w:uiPriority w:val="99"/>
    <w:semiHidden/>
    <w:unhideWhenUsed/>
    <w:rsid w:val="00383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29150">
      <w:bodyDiv w:val="1"/>
      <w:marLeft w:val="0"/>
      <w:marRight w:val="0"/>
      <w:marTop w:val="0"/>
      <w:marBottom w:val="0"/>
      <w:divBdr>
        <w:top w:val="none" w:sz="0" w:space="0" w:color="auto"/>
        <w:left w:val="none" w:sz="0" w:space="0" w:color="auto"/>
        <w:bottom w:val="none" w:sz="0" w:space="0" w:color="auto"/>
        <w:right w:val="none" w:sz="0" w:space="0" w:color="auto"/>
      </w:divBdr>
    </w:div>
    <w:div w:id="314140051">
      <w:bodyDiv w:val="1"/>
      <w:marLeft w:val="0"/>
      <w:marRight w:val="0"/>
      <w:marTop w:val="0"/>
      <w:marBottom w:val="0"/>
      <w:divBdr>
        <w:top w:val="none" w:sz="0" w:space="0" w:color="auto"/>
        <w:left w:val="none" w:sz="0" w:space="0" w:color="auto"/>
        <w:bottom w:val="none" w:sz="0" w:space="0" w:color="auto"/>
        <w:right w:val="none" w:sz="0" w:space="0" w:color="auto"/>
      </w:divBdr>
    </w:div>
    <w:div w:id="535313130">
      <w:bodyDiv w:val="1"/>
      <w:marLeft w:val="0"/>
      <w:marRight w:val="0"/>
      <w:marTop w:val="0"/>
      <w:marBottom w:val="0"/>
      <w:divBdr>
        <w:top w:val="none" w:sz="0" w:space="0" w:color="auto"/>
        <w:left w:val="none" w:sz="0" w:space="0" w:color="auto"/>
        <w:bottom w:val="none" w:sz="0" w:space="0" w:color="auto"/>
        <w:right w:val="none" w:sz="0" w:space="0" w:color="auto"/>
      </w:divBdr>
    </w:div>
    <w:div w:id="636028741">
      <w:bodyDiv w:val="1"/>
      <w:marLeft w:val="0"/>
      <w:marRight w:val="0"/>
      <w:marTop w:val="0"/>
      <w:marBottom w:val="0"/>
      <w:divBdr>
        <w:top w:val="none" w:sz="0" w:space="0" w:color="auto"/>
        <w:left w:val="none" w:sz="0" w:space="0" w:color="auto"/>
        <w:bottom w:val="none" w:sz="0" w:space="0" w:color="auto"/>
        <w:right w:val="none" w:sz="0" w:space="0" w:color="auto"/>
      </w:divBdr>
    </w:div>
    <w:div w:id="678852414">
      <w:bodyDiv w:val="1"/>
      <w:marLeft w:val="0"/>
      <w:marRight w:val="0"/>
      <w:marTop w:val="0"/>
      <w:marBottom w:val="0"/>
      <w:divBdr>
        <w:top w:val="none" w:sz="0" w:space="0" w:color="auto"/>
        <w:left w:val="none" w:sz="0" w:space="0" w:color="auto"/>
        <w:bottom w:val="none" w:sz="0" w:space="0" w:color="auto"/>
        <w:right w:val="none" w:sz="0" w:space="0" w:color="auto"/>
      </w:divBdr>
    </w:div>
    <w:div w:id="13361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7&amp;ba=sf2388" TargetMode="External"/><Relationship Id="rId18" Type="http://schemas.openxmlformats.org/officeDocument/2006/relationships/hyperlink" Target="https://www.legis.iowa.gov/legislation/BillBook?ga=85&amp;ba=HF2472" TargetMode="External"/><Relationship Id="rId26" Type="http://schemas.openxmlformats.org/officeDocument/2006/relationships/hyperlink" Target="http://coolice.legis.iowa.gov/Cool-ICE/default.asp?Category=billinfo&amp;Service=Billbook&amp;menu=false&amp;ga=81&amp;hbill=HF277" TargetMode="External"/><Relationship Id="rId3" Type="http://schemas.openxmlformats.org/officeDocument/2006/relationships/styles" Target="styles.xml"/><Relationship Id="rId21" Type="http://schemas.openxmlformats.org/officeDocument/2006/relationships/hyperlink" Target="http://coolice.legis.iowa.gov/Cool-ICE/default.asp?Category=billinfo&amp;Service=Billbook&amp;menu=false&amp;ga=84&amp;hbill=SF233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iowa.gov/legislation/BillBook?ga=88&amp;ba=hf537" TargetMode="External"/><Relationship Id="rId17" Type="http://schemas.openxmlformats.org/officeDocument/2006/relationships/hyperlink" Target="http://www.iacommunicationsall.org/link.asp?e=dduncan@iacommunicationsall.com&amp;job=1319968&amp;ymlink=2255945&amp;finalurl=http%3A%2F%2Fcoolice%2Elegis%2Eiowa%2Egov%2Flinc%2F85%2Fexternal%2Fgovbills%2FSF2195%2Epdf" TargetMode="External"/><Relationship Id="rId25" Type="http://schemas.openxmlformats.org/officeDocument/2006/relationships/hyperlink" Target="http://coolice.legis.iowa.gov/Cool-ICE/default.asp?Category=billinfo&amp;Service=Billbook&amp;menu=false&amp;ga=81&amp;hbill=SF26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oolice.legis.iowa.gov/Cool-ICE/default.asp?Category=billinfo&amp;Service=Billbook&amp;menu=false&amp;hbill=hf655" TargetMode="External"/><Relationship Id="rId20" Type="http://schemas.openxmlformats.org/officeDocument/2006/relationships/hyperlink" Target="http://coolice.legis.iowa.gov/Cool-ICE/default.asp?Category=billinfo&amp;Service=Billbook&amp;menu=false&amp;ga=85&amp;hbill=HF644" TargetMode="External"/><Relationship Id="rId29" Type="http://schemas.openxmlformats.org/officeDocument/2006/relationships/hyperlink" Target="http://coolice.legis.iowa.gov/Cool-ICE/default.asp?Category=billinfo&amp;Service=Billbook&amp;menu=false&amp;ga=80&amp;hbill=SF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8&amp;ba=hf759" TargetMode="External"/><Relationship Id="rId24" Type="http://schemas.openxmlformats.org/officeDocument/2006/relationships/hyperlink" Target="http://coolice.legis.iowa.gov/Cool-ICE/default.asp?Category=billinfo&amp;Service=Billbook&amp;menu=false&amp;ga=81&amp;hbill=SF239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iowa.gov/legislation/BillBook?ga=86&amp;ba=sf453" TargetMode="External"/><Relationship Id="rId23" Type="http://schemas.openxmlformats.org/officeDocument/2006/relationships/hyperlink" Target="http://coolice.legis.iowa.gov/Cool-ICE/default.asp?Category=billinfo&amp;Service=Billbook&amp;menu=false&amp;ga=82&amp;hbill=SF554" TargetMode="External"/><Relationship Id="rId28" Type="http://schemas.openxmlformats.org/officeDocument/2006/relationships/hyperlink" Target="http://coolice.legis.iowa.gov/Cool-ICE/default.asp?Category=billinfo&amp;Service=Billbook&amp;menu=false&amp;ga=80&amp;hbill=SF2298" TargetMode="External"/><Relationship Id="rId10" Type="http://schemas.openxmlformats.org/officeDocument/2006/relationships/hyperlink" Target="https://www.legis.iowa.gov/legislation/BillBook?ga=88&amp;ba=hf772" TargetMode="External"/><Relationship Id="rId19" Type="http://schemas.openxmlformats.org/officeDocument/2006/relationships/hyperlink" Target="http://coolice.legis.iowa.gov/Cool-ICE/default.asp?Category=billinfo&amp;Service=Billbook&amp;menu=false&amp;hbill=sf295&amp;ga=85" TargetMode="External"/><Relationship Id="rId31" Type="http://schemas.openxmlformats.org/officeDocument/2006/relationships/hyperlink" Target="https://www.legis.iowa.gov/DOCS/GA/79GA/Legislation/SF/00500/SF00515/Current.html" TargetMode="External"/><Relationship Id="rId4" Type="http://schemas.openxmlformats.org/officeDocument/2006/relationships/settings" Target="settings.xml"/><Relationship Id="rId9" Type="http://schemas.openxmlformats.org/officeDocument/2006/relationships/hyperlink" Target="http://www.legis.iowa.gov/legislation/BillBook?ba=HF2641&amp;ga=88" TargetMode="External"/><Relationship Id="rId14" Type="http://schemas.openxmlformats.org/officeDocument/2006/relationships/hyperlink" Target="https://www.legis.iowa.gov/legislation/BillBook?ga=87&amp;ba=hf2446" TargetMode="External"/><Relationship Id="rId22" Type="http://schemas.openxmlformats.org/officeDocument/2006/relationships/hyperlink" Target="http://coolice.legis.iowa.gov/Cool-ICE/default.asp?Category=billinfo&amp;Service=Billbook&amp;menu=false&amp;ga=84&amp;hbill=HR6" TargetMode="External"/><Relationship Id="rId27" Type="http://schemas.openxmlformats.org/officeDocument/2006/relationships/hyperlink" Target="http://coolice.legis.iowa.gov/Cool-ICE/default.asp?Category=billinfo&amp;Service=Billbook&amp;menu=false&amp;ga=80&amp;hbill=SF2187" TargetMode="External"/><Relationship Id="rId30" Type="http://schemas.openxmlformats.org/officeDocument/2006/relationships/hyperlink" Target="http://coolice.legis.iowa.gov/Cool-ICE/default.asp?Category=billinfo&amp;Service=Billbook&amp;menu=true&amp;hbill=SF458&amp;ga=80&amp;version=enrol;" TargetMode="External"/><Relationship Id="rId35" Type="http://schemas.openxmlformats.org/officeDocument/2006/relationships/theme" Target="theme/theme1.xml"/><Relationship Id="rId8" Type="http://schemas.openxmlformats.org/officeDocument/2006/relationships/hyperlink" Target="https://www.legis.iowa.gov/docs/publications/LGR/88/SF240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DC85-74CF-433F-8B30-9BB6D746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Hrdlicka</dc:creator>
  <cp:lastModifiedBy>Dave Duncan</cp:lastModifiedBy>
  <cp:revision>2</cp:revision>
  <cp:lastPrinted>2020-01-13T13:47:00Z</cp:lastPrinted>
  <dcterms:created xsi:type="dcterms:W3CDTF">2020-06-23T19:46:00Z</dcterms:created>
  <dcterms:modified xsi:type="dcterms:W3CDTF">2020-06-23T19:46:00Z</dcterms:modified>
</cp:coreProperties>
</file>